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58"/>
        <w:gridCol w:w="1524"/>
        <w:gridCol w:w="2510"/>
        <w:gridCol w:w="1733"/>
      </w:tblGrid>
      <w:tr w:rsidR="00C66288" w14:paraId="505C8032" w14:textId="77777777" w:rsidTr="00A076B3">
        <w:trPr>
          <w:trHeight w:val="285"/>
        </w:trPr>
        <w:tc>
          <w:tcPr>
            <w:tcW w:w="9025" w:type="dxa"/>
            <w:gridSpan w:val="4"/>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4DF94CE" w14:textId="77777777" w:rsidR="00C66288" w:rsidRDefault="00000000">
            <w:pPr>
              <w:shd w:val="clear" w:color="auto" w:fill="FFFFFF"/>
              <w:spacing w:before="240" w:after="240"/>
              <w:rPr>
                <w:b/>
                <w:bCs/>
              </w:rPr>
            </w:pPr>
            <w:r>
              <w:rPr>
                <w:b/>
                <w:bCs/>
              </w:rPr>
              <w:t>Svensk Förening för Patologi – Svensk Förening för Klinisk Cytologi</w:t>
            </w:r>
          </w:p>
        </w:tc>
      </w:tr>
      <w:tr w:rsidR="00C66288" w14:paraId="5B7E9A91" w14:textId="77777777" w:rsidTr="00A076B3">
        <w:trPr>
          <w:trHeight w:val="285"/>
        </w:trPr>
        <w:tc>
          <w:tcPr>
            <w:tcW w:w="9025"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7AEE472" w14:textId="77777777" w:rsidR="00C66288" w:rsidRDefault="00000000">
            <w:pPr>
              <w:shd w:val="clear" w:color="auto" w:fill="FFFFFF"/>
              <w:spacing w:before="240" w:after="240"/>
            </w:pPr>
            <w:r>
              <w:rPr>
                <w:b/>
                <w:bCs/>
              </w:rPr>
              <w:t>Dokumentnamn</w:t>
            </w:r>
            <w:r>
              <w:t>: Infektionspatologi</w:t>
            </w:r>
          </w:p>
        </w:tc>
      </w:tr>
      <w:tr w:rsidR="00C66288" w14:paraId="4F6089FC" w14:textId="77777777" w:rsidTr="00A076B3">
        <w:trPr>
          <w:trHeight w:val="570"/>
        </w:trPr>
        <w:tc>
          <w:tcPr>
            <w:tcW w:w="325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2FC8C83" w14:textId="77777777" w:rsidR="00C66288" w:rsidRDefault="00000000">
            <w:pPr>
              <w:shd w:val="clear" w:color="auto" w:fill="FFFFFF"/>
              <w:spacing w:before="240" w:after="240"/>
            </w:pPr>
            <w:r>
              <w:rPr>
                <w:b/>
                <w:bCs/>
              </w:rPr>
              <w:t>Framtaget av</w:t>
            </w:r>
            <w:r>
              <w:t>: KVAST-INFEKTION</w:t>
            </w:r>
          </w:p>
        </w:tc>
        <w:tc>
          <w:tcPr>
            <w:tcW w:w="1524" w:type="dxa"/>
            <w:tcBorders>
              <w:top w:val="nil"/>
              <w:left w:val="nil"/>
              <w:bottom w:val="single" w:sz="5" w:space="0" w:color="000000"/>
              <w:right w:val="single" w:sz="5" w:space="0" w:color="000000"/>
            </w:tcBorders>
            <w:tcMar>
              <w:top w:w="0" w:type="dxa"/>
              <w:left w:w="100" w:type="dxa"/>
              <w:bottom w:w="0" w:type="dxa"/>
              <w:right w:w="100" w:type="dxa"/>
            </w:tcMar>
          </w:tcPr>
          <w:p w14:paraId="4DA73D47" w14:textId="77777777" w:rsidR="00C66288" w:rsidRDefault="00000000">
            <w:pPr>
              <w:shd w:val="clear" w:color="auto" w:fill="FFFFFF"/>
              <w:spacing w:before="240" w:after="240"/>
            </w:pPr>
            <w:r>
              <w:rPr>
                <w:b/>
                <w:bCs/>
              </w:rPr>
              <w:t>Utgåva</w:t>
            </w:r>
            <w:r>
              <w:t>: 1.0</w:t>
            </w:r>
          </w:p>
        </w:tc>
        <w:tc>
          <w:tcPr>
            <w:tcW w:w="2510" w:type="dxa"/>
            <w:tcBorders>
              <w:top w:val="nil"/>
              <w:left w:val="nil"/>
              <w:bottom w:val="single" w:sz="5" w:space="0" w:color="000000"/>
              <w:right w:val="single" w:sz="5" w:space="0" w:color="000000"/>
            </w:tcBorders>
            <w:tcMar>
              <w:top w:w="0" w:type="dxa"/>
              <w:left w:w="100" w:type="dxa"/>
              <w:bottom w:w="0" w:type="dxa"/>
              <w:right w:w="100" w:type="dxa"/>
            </w:tcMar>
          </w:tcPr>
          <w:p w14:paraId="23E6B5C5" w14:textId="77777777" w:rsidR="00C66288" w:rsidRDefault="00000000">
            <w:pPr>
              <w:shd w:val="clear" w:color="auto" w:fill="FFFFFF"/>
              <w:spacing w:before="240" w:after="240"/>
            </w:pPr>
            <w:r>
              <w:rPr>
                <w:b/>
                <w:bCs/>
              </w:rPr>
              <w:t>Fastställt</w:t>
            </w:r>
            <w:r>
              <w:t>: 2026-xx-xx</w:t>
            </w:r>
          </w:p>
        </w:tc>
        <w:tc>
          <w:tcPr>
            <w:tcW w:w="1733" w:type="dxa"/>
            <w:tcBorders>
              <w:top w:val="nil"/>
              <w:left w:val="nil"/>
              <w:bottom w:val="single" w:sz="5" w:space="0" w:color="000000"/>
              <w:right w:val="single" w:sz="5" w:space="0" w:color="000000"/>
            </w:tcBorders>
            <w:tcMar>
              <w:top w:w="0" w:type="dxa"/>
              <w:left w:w="100" w:type="dxa"/>
              <w:bottom w:w="0" w:type="dxa"/>
              <w:right w:w="100" w:type="dxa"/>
            </w:tcMar>
          </w:tcPr>
          <w:p w14:paraId="64D80C66" w14:textId="20CD3EE8" w:rsidR="00C66288" w:rsidRDefault="00000000">
            <w:pPr>
              <w:shd w:val="clear" w:color="auto" w:fill="FFFFFF"/>
              <w:spacing w:before="240" w:after="240"/>
            </w:pPr>
            <w:r>
              <w:rPr>
                <w:b/>
                <w:bCs/>
              </w:rPr>
              <w:t>Sidor</w:t>
            </w:r>
            <w:r>
              <w:t xml:space="preserve">: </w:t>
            </w:r>
            <w:r w:rsidR="00A076B3">
              <w:t>8</w:t>
            </w:r>
          </w:p>
        </w:tc>
      </w:tr>
    </w:tbl>
    <w:p w14:paraId="459A55B9" w14:textId="77777777" w:rsidR="00C66288" w:rsidRDefault="00C66288">
      <w:pPr>
        <w:shd w:val="clear" w:color="auto" w:fill="FFFFFF"/>
        <w:spacing w:before="240" w:after="240"/>
      </w:pPr>
    </w:p>
    <w:p w14:paraId="4CD7777E" w14:textId="77777777" w:rsidR="00C66288" w:rsidRDefault="00000000">
      <w:pPr>
        <w:shd w:val="clear" w:color="auto" w:fill="FFFFFF"/>
        <w:spacing w:before="240" w:after="240"/>
      </w:pPr>
      <w:r>
        <w:t>Arbetsgrupp: Erik Wettersand, Agnes Ling, Despoina Violidaki, Hans Brunnström, Igor Schliemann</w:t>
      </w:r>
    </w:p>
    <w:p w14:paraId="010FFC16" w14:textId="77777777" w:rsidR="00C66288" w:rsidRDefault="00C66288">
      <w:pPr>
        <w:shd w:val="clear" w:color="auto" w:fill="FFFFFF"/>
        <w:spacing w:before="240" w:after="240"/>
      </w:pPr>
    </w:p>
    <w:p w14:paraId="5D468D44" w14:textId="77777777" w:rsidR="00C66288" w:rsidRDefault="00000000">
      <w:pPr>
        <w:shd w:val="clear" w:color="auto" w:fill="FFFFFF"/>
        <w:tabs>
          <w:tab w:val="left" w:pos="8220"/>
        </w:tabs>
        <w:spacing w:before="240" w:after="240"/>
        <w:rPr>
          <w:b/>
          <w:bCs/>
        </w:rPr>
      </w:pPr>
      <w:r>
        <w:rPr>
          <w:b/>
          <w:bCs/>
        </w:rPr>
        <w:t xml:space="preserve">1. Innehållsförteckning </w:t>
      </w:r>
      <w:r>
        <w:rPr>
          <w:b/>
          <w:bCs/>
        </w:rPr>
        <w:tab/>
        <w:t>sid</w:t>
      </w:r>
    </w:p>
    <w:p w14:paraId="76A64929" w14:textId="77777777" w:rsidR="00C66288" w:rsidRDefault="00000000">
      <w:pPr>
        <w:shd w:val="clear" w:color="auto" w:fill="FFFFFF"/>
        <w:tabs>
          <w:tab w:val="left" w:pos="8220"/>
        </w:tabs>
        <w:spacing w:before="240" w:after="240"/>
      </w:pPr>
      <w:r>
        <w:t xml:space="preserve">1. Innehållsförteckning </w:t>
      </w:r>
      <w:r>
        <w:tab/>
        <w:t>1</w:t>
      </w:r>
    </w:p>
    <w:p w14:paraId="64519EEE" w14:textId="77777777" w:rsidR="00C66288" w:rsidRDefault="00000000">
      <w:pPr>
        <w:shd w:val="clear" w:color="auto" w:fill="FFFFFF"/>
        <w:tabs>
          <w:tab w:val="left" w:pos="8220"/>
        </w:tabs>
        <w:spacing w:before="240" w:after="240"/>
      </w:pPr>
      <w:r>
        <w:t xml:space="preserve">2. Bakgrundsinformation </w:t>
      </w:r>
      <w:r>
        <w:tab/>
        <w:t>2</w:t>
      </w:r>
    </w:p>
    <w:p w14:paraId="2A4B062D" w14:textId="77777777" w:rsidR="00C66288" w:rsidRDefault="00000000">
      <w:pPr>
        <w:shd w:val="clear" w:color="auto" w:fill="FFFFFF"/>
        <w:tabs>
          <w:tab w:val="left" w:pos="8220"/>
        </w:tabs>
        <w:spacing w:before="240" w:after="240"/>
      </w:pPr>
      <w:r>
        <w:t xml:space="preserve">3. Anvisningar för provtagarens hantering av prover </w:t>
      </w:r>
      <w:r>
        <w:tab/>
        <w:t>2</w:t>
      </w:r>
    </w:p>
    <w:p w14:paraId="1B38AD8A" w14:textId="77777777" w:rsidR="00C66288" w:rsidRDefault="00000000">
      <w:pPr>
        <w:shd w:val="clear" w:color="auto" w:fill="FFFFFF"/>
        <w:tabs>
          <w:tab w:val="left" w:pos="8220"/>
        </w:tabs>
        <w:spacing w:before="240" w:after="240"/>
      </w:pPr>
      <w:r>
        <w:t>4. Anamnestisk remissinformation</w:t>
      </w:r>
      <w:r>
        <w:tab/>
        <w:t>3</w:t>
      </w:r>
    </w:p>
    <w:p w14:paraId="68663BA8" w14:textId="77777777" w:rsidR="00C66288" w:rsidRDefault="00000000">
      <w:pPr>
        <w:shd w:val="clear" w:color="auto" w:fill="FFFFFF"/>
        <w:tabs>
          <w:tab w:val="left" w:pos="8220"/>
        </w:tabs>
        <w:spacing w:before="240" w:after="240"/>
      </w:pPr>
      <w:r>
        <w:t xml:space="preserve">5. Hantering av prover på patologlaboratoriet </w:t>
      </w:r>
      <w:r>
        <w:tab/>
        <w:t>3</w:t>
      </w:r>
    </w:p>
    <w:p w14:paraId="350B8289" w14:textId="77777777" w:rsidR="00C66288" w:rsidRDefault="00000000">
      <w:pPr>
        <w:shd w:val="clear" w:color="auto" w:fill="FFFFFF"/>
        <w:tabs>
          <w:tab w:val="left" w:pos="8220"/>
        </w:tabs>
        <w:spacing w:before="240" w:after="240"/>
      </w:pPr>
      <w:r>
        <w:t xml:space="preserve">6. Analyser </w:t>
      </w:r>
      <w:r>
        <w:tab/>
        <w:t>4</w:t>
      </w:r>
    </w:p>
    <w:p w14:paraId="159B87D5" w14:textId="77777777" w:rsidR="00C66288" w:rsidRDefault="00000000">
      <w:pPr>
        <w:shd w:val="clear" w:color="auto" w:fill="FFFFFF"/>
        <w:tabs>
          <w:tab w:val="left" w:pos="8220"/>
        </w:tabs>
        <w:spacing w:before="240" w:after="240"/>
      </w:pPr>
      <w:r>
        <w:t xml:space="preserve">7. Information i remissens svarsdel </w:t>
      </w:r>
      <w:r>
        <w:tab/>
        <w:t>5</w:t>
      </w:r>
    </w:p>
    <w:p w14:paraId="0AB6A37D" w14:textId="77777777" w:rsidR="00C66288" w:rsidRDefault="00000000">
      <w:pPr>
        <w:shd w:val="clear" w:color="auto" w:fill="FFFFFF"/>
        <w:tabs>
          <w:tab w:val="left" w:pos="8220"/>
        </w:tabs>
        <w:spacing w:before="240" w:after="240"/>
      </w:pPr>
      <w:r>
        <w:t xml:space="preserve">8. Administrativt och övrigt </w:t>
      </w:r>
      <w:r>
        <w:tab/>
        <w:t>5</w:t>
      </w:r>
    </w:p>
    <w:p w14:paraId="1BAAB33A" w14:textId="77777777" w:rsidR="00C66288" w:rsidRDefault="00000000">
      <w:pPr>
        <w:shd w:val="clear" w:color="auto" w:fill="FFFFFF"/>
        <w:tabs>
          <w:tab w:val="left" w:pos="8220"/>
        </w:tabs>
        <w:spacing w:before="240" w:after="240"/>
      </w:pPr>
      <w:r>
        <w:t xml:space="preserve">9. Referenser och litteraturförteckning </w:t>
      </w:r>
      <w:r>
        <w:tab/>
        <w:t>5</w:t>
      </w:r>
    </w:p>
    <w:p w14:paraId="7EAA701D" w14:textId="77777777" w:rsidR="00C66288" w:rsidRDefault="00000000">
      <w:pPr>
        <w:shd w:val="clear" w:color="auto" w:fill="FFFFFF"/>
        <w:tabs>
          <w:tab w:val="left" w:pos="8220"/>
        </w:tabs>
        <w:spacing w:before="240" w:after="240"/>
      </w:pPr>
      <w:r>
        <w:t xml:space="preserve">Appendix 1. Analyser vid olika avdelningar i Sverige </w:t>
      </w:r>
      <w:r>
        <w:tab/>
        <w:t>7</w:t>
      </w:r>
    </w:p>
    <w:p w14:paraId="6B9C03A4" w14:textId="77777777" w:rsidR="00C66288" w:rsidRDefault="00C66288">
      <w:pPr>
        <w:shd w:val="clear" w:color="auto" w:fill="FFFFFF"/>
        <w:spacing w:before="240" w:after="240"/>
      </w:pPr>
    </w:p>
    <w:p w14:paraId="31A6343A" w14:textId="77777777" w:rsidR="00A076B3" w:rsidRDefault="00A076B3">
      <w:pPr>
        <w:rPr>
          <w:b/>
          <w:bCs/>
        </w:rPr>
      </w:pPr>
      <w:r>
        <w:rPr>
          <w:b/>
          <w:bCs/>
        </w:rPr>
        <w:br w:type="page"/>
      </w:r>
    </w:p>
    <w:p w14:paraId="4F79F9BA" w14:textId="4BA26FC2" w:rsidR="00C66288" w:rsidRDefault="00000000">
      <w:pPr>
        <w:shd w:val="clear" w:color="auto" w:fill="FFFFFF"/>
        <w:spacing w:before="240" w:after="240"/>
        <w:rPr>
          <w:b/>
          <w:bCs/>
        </w:rPr>
      </w:pPr>
      <w:r>
        <w:rPr>
          <w:b/>
          <w:bCs/>
        </w:rPr>
        <w:lastRenderedPageBreak/>
        <w:t>2. Bakgrundsinformation</w:t>
      </w:r>
    </w:p>
    <w:p w14:paraId="156E3621" w14:textId="77777777" w:rsidR="00C66288" w:rsidRDefault="00000000">
      <w:pPr>
        <w:shd w:val="clear" w:color="auto" w:fill="FFFFFF"/>
        <w:spacing w:before="240" w:after="240"/>
      </w:pPr>
      <w:r>
        <w:t xml:space="preserve">För diagnostik av infektionssjukdomar räcker i många fall klinisk undersökning. Vid behov av provtagning utförs analys (inkl. odling) till största del vid Klinisk mikrobiologi, och vid bild av infektiös process med begränsad möjlighet till provtagning bör prov till Klinisk mikrobiologi ofta prioriteras. Diagnostik vid patologavdelning är aktuellt till exempel vid mikroorganismer som ofta ses i vanliga prover (som Helicobacter i biopsier från övre gastrointestinalkanalen), när infektiös process detekteras i prov som tagits vid utredning av misstänkt malignitet, uppföljningsprovtagning efter transplantation, samt vid obduktion. </w:t>
      </w:r>
    </w:p>
    <w:p w14:paraId="401F567F" w14:textId="77777777" w:rsidR="00C66288" w:rsidRDefault="00000000">
      <w:pPr>
        <w:shd w:val="clear" w:color="auto" w:fill="FFFFFF"/>
        <w:spacing w:before="240" w:after="240"/>
      </w:pPr>
      <w:r>
        <w:t xml:space="preserve">I enklare fall går det ofta att ställa säker diagnos utifrån endast histo- eller cytopatologi med/utan specialfärgningar genom typiskt inflammationsmönster (t.ex. bakteriell pneumoni) eller synliga mikroorganismer med karakteristiskt utseende (fr.a. svampar och parasiter). Ibland kan morfologi ge stark misstanke, men specialfärgning och/eller molekylär analys behövs för att bekräfta diagnosen (t.ex. mykobakterier och en del virus). I mer utmanande fall är ett multidisciplinärt arbetssätt med gott samarbete mellan patolog, mikrobiolog, infektionsläkare/annan kliniker och ev. radiolog av stor vikt för diagnostiken. </w:t>
      </w:r>
    </w:p>
    <w:p w14:paraId="0D461D0F" w14:textId="77777777" w:rsidR="00C66288" w:rsidRDefault="00000000">
      <w:pPr>
        <w:shd w:val="clear" w:color="auto" w:fill="FFFFFF"/>
        <w:spacing w:before="240" w:after="240"/>
      </w:pPr>
      <w:r>
        <w:t xml:space="preserve">Morfologiska artefakter (inkl. mikroförkalkningar, olika pigment och cellfragment), kontamination (vid provtagning eller analys), kolonisering utan infektion, sparsam förekomst av mikroorganismer, suboptimal sensitivitet och specificitet för analyser samt avsaknad av specifika analysmetoder är saker som kan försvåra diagnostiken. Vidare är många infektioner ovanliga i Sverige, och erfarenheten hos patologer kan vara begränsad då generellt få prover till patologi tas vid infektionsutredningar. </w:t>
      </w:r>
    </w:p>
    <w:p w14:paraId="55D57089" w14:textId="77777777" w:rsidR="00C66288" w:rsidRDefault="00000000">
      <w:pPr>
        <w:shd w:val="clear" w:color="auto" w:fill="FFFFFF"/>
        <w:spacing w:before="240" w:after="240"/>
      </w:pPr>
      <w:r>
        <w:t xml:space="preserve">En särskild patientgrupp är immunsupprimerade, där tillståndet för majoriteten är orsakat av sjukdom eller behandling. För dessa kan man förvänta sig att oftare se vissa typer av infektioner, varför det är viktigt att information om immunsuppression framgår i uppgifter till patologavdelningen. </w:t>
      </w:r>
    </w:p>
    <w:p w14:paraId="784B186D" w14:textId="77777777" w:rsidR="00C66288" w:rsidRDefault="00C66288">
      <w:pPr>
        <w:shd w:val="clear" w:color="auto" w:fill="FFFFFF"/>
        <w:spacing w:before="240" w:after="240"/>
      </w:pPr>
    </w:p>
    <w:p w14:paraId="73F4F392" w14:textId="77777777" w:rsidR="00C66288" w:rsidRDefault="00000000">
      <w:pPr>
        <w:shd w:val="clear" w:color="auto" w:fill="FFFFFF"/>
        <w:spacing w:before="240" w:after="240"/>
        <w:rPr>
          <w:b/>
          <w:bCs/>
        </w:rPr>
      </w:pPr>
      <w:r>
        <w:rPr>
          <w:b/>
          <w:bCs/>
        </w:rPr>
        <w:t>3. Anvisningar för provtagarens hantering av prover</w:t>
      </w:r>
    </w:p>
    <w:p w14:paraId="1731307C" w14:textId="77777777" w:rsidR="00C66288" w:rsidRDefault="00000000">
      <w:pPr>
        <w:shd w:val="clear" w:color="auto" w:fill="FFFFFF"/>
        <w:spacing w:before="240" w:after="240"/>
      </w:pPr>
      <w:r>
        <w:t xml:space="preserve">Då malignitet eller andra sjukdomstillstånd ofta ingår som differentialdiagnos när infektiös process misstänks (eller ingår som differentialdiagnos) så bör histo- och/eller cytologiskt prov tas och hanteras så att samtliga frågeställningar blir möjliga att besvara. </w:t>
      </w:r>
    </w:p>
    <w:p w14:paraId="551DD60B" w14:textId="77777777" w:rsidR="00C66288" w:rsidRDefault="00000000">
      <w:pPr>
        <w:shd w:val="clear" w:color="auto" w:fill="FFFFFF"/>
        <w:spacing w:before="240" w:after="240"/>
      </w:pPr>
      <w:r>
        <w:t>Detta innebär att oavsett typ av prov (biopsi/cytologi/resektat) ska provmaterialet hanteras på så sätt att både immunhistokemisk färgning och molekylärpatologisk analys kan utföras.</w:t>
      </w:r>
    </w:p>
    <w:p w14:paraId="74A94B65" w14:textId="77777777" w:rsidR="00C66288" w:rsidRDefault="00000000">
      <w:pPr>
        <w:shd w:val="clear" w:color="auto" w:fill="FFFFFF"/>
        <w:spacing w:before="240" w:after="240"/>
      </w:pPr>
      <w:r>
        <w:t xml:space="preserve">Vidare bör, för utredningsprover (biopsier och cytologi), tillräckligt många biopsier/aspirationer/borstningar etc. tas för att ge rimlig möjlighet att upptäcka ev. infektiösa agens, då dessa kan förekomma i sparsam mängd och/eller heterogent i vävnaden. </w:t>
      </w:r>
    </w:p>
    <w:p w14:paraId="1DBE5502" w14:textId="77777777" w:rsidR="00C66288" w:rsidRDefault="00000000">
      <w:pPr>
        <w:shd w:val="clear" w:color="auto" w:fill="FFFFFF"/>
        <w:spacing w:before="240" w:after="240"/>
        <w:rPr>
          <w:i/>
          <w:iCs/>
        </w:rPr>
      </w:pPr>
      <w:r>
        <w:rPr>
          <w:i/>
          <w:iCs/>
        </w:rPr>
        <w:t xml:space="preserve">Cytologi </w:t>
      </w:r>
    </w:p>
    <w:p w14:paraId="29CFF62F" w14:textId="77777777" w:rsidR="00C66288" w:rsidRDefault="00000000">
      <w:pPr>
        <w:shd w:val="clear" w:color="auto" w:fill="FFFFFF"/>
        <w:spacing w:before="240" w:after="240"/>
      </w:pPr>
      <w:r>
        <w:t xml:space="preserve">Cytologiskt material bör hanteras enligt lokal rutin då analyser ibland behöver optimeras efter typ av fixering/preparering och då tekniska möjligheter och vana att arbeta med olika prepareringar kan skilja mellan olika patologavdelningar. I grunden används direktutstryk </w:t>
      </w:r>
      <w:r>
        <w:lastRenderedPageBreak/>
        <w:t xml:space="preserve">och vätskebaserad cytologi vid cytologisk provtagning. Direktutstryk av cytologiskt material på glas lufttorkas före fixering eller spritfixeras direkt, och glasen märks med vald metod. Vid vätskebaserad cytologi tillsätts cellmaterialet så snabbt som möjligt i någon metanol-/etanolinnehållande lösning (CytoLyt, PreservCyt, CytoRich m.fl.), TransFix eller formalin etc. Alternativt kan materialet tillsättas i koksalt eller skickas utan fixativ (som pleuravätska eller ascites, där normalt endast heparin tillsätts), men materialets hållbarhet är då mer begränsad, och provet bör så snart som möjligt skickas till patologavdelning för vidare omhändertagande. </w:t>
      </w:r>
    </w:p>
    <w:p w14:paraId="2A24355A" w14:textId="77777777" w:rsidR="00C66288" w:rsidRDefault="00000000">
      <w:pPr>
        <w:shd w:val="clear" w:color="auto" w:fill="FFFFFF"/>
        <w:spacing w:before="240" w:after="240"/>
        <w:rPr>
          <w:i/>
          <w:iCs/>
        </w:rPr>
      </w:pPr>
      <w:r>
        <w:rPr>
          <w:i/>
          <w:iCs/>
        </w:rPr>
        <w:t xml:space="preserve">Biopsier </w:t>
      </w:r>
    </w:p>
    <w:p w14:paraId="4A1F9416" w14:textId="77777777" w:rsidR="00C66288" w:rsidRDefault="00000000">
      <w:pPr>
        <w:shd w:val="clear" w:color="auto" w:fill="FFFFFF"/>
        <w:spacing w:before="240" w:after="240"/>
      </w:pPr>
      <w:r>
        <w:t>Biopsier tillsätts så snabbt som möjligt i 10%-ig neutral buffrad formalin (motsvarar 4% formaldehyd) för fixering.</w:t>
      </w:r>
    </w:p>
    <w:p w14:paraId="3880FA64" w14:textId="77777777" w:rsidR="00C66288" w:rsidRDefault="00000000">
      <w:pPr>
        <w:shd w:val="clear" w:color="auto" w:fill="FFFFFF"/>
        <w:spacing w:before="240" w:after="240"/>
        <w:rPr>
          <w:i/>
          <w:iCs/>
        </w:rPr>
      </w:pPr>
      <w:r>
        <w:rPr>
          <w:i/>
          <w:iCs/>
        </w:rPr>
        <w:t xml:space="preserve">Resektat </w:t>
      </w:r>
    </w:p>
    <w:p w14:paraId="4712A578" w14:textId="77777777" w:rsidR="00C66288" w:rsidRDefault="00000000">
      <w:pPr>
        <w:shd w:val="clear" w:color="auto" w:fill="FFFFFF"/>
        <w:spacing w:before="240" w:after="240"/>
      </w:pPr>
      <w:r>
        <w:t xml:space="preserve">Kirurgiska resektat kan fixeras i formalin (som för biopsier) eller skickas färskt enligt rutin för den aktuella typen av resektat. Vid tillsättning i formalin vid kirurgavdelning ska det tillses att formalinmängden är tillräcklig (idealt minst 20x provets volym) och ev. andra åtgärder (uppnålning, formalinfyllnad med spruta etc) i enlighet med rutin för det aktuella preparatet. Om det inte varit möjligt att ta preoperativt prov till Klinisk mikrobiologi bör man, när sådant prov är önskvärt, överväga att, i överenskommelse med patologavdelningen, skicka resektat färskt för provtagning till mikrobiologi vid patologavdelningen innan fixering. </w:t>
      </w:r>
    </w:p>
    <w:p w14:paraId="3162CFF3" w14:textId="77777777" w:rsidR="00C66288" w:rsidRDefault="00C66288">
      <w:pPr>
        <w:shd w:val="clear" w:color="auto" w:fill="FFFFFF"/>
        <w:spacing w:before="240" w:after="240"/>
      </w:pPr>
    </w:p>
    <w:p w14:paraId="36D07193" w14:textId="77777777" w:rsidR="00C66288" w:rsidRDefault="00000000">
      <w:pPr>
        <w:shd w:val="clear" w:color="auto" w:fill="FFFFFF"/>
        <w:spacing w:before="240" w:after="240"/>
        <w:rPr>
          <w:b/>
          <w:bCs/>
        </w:rPr>
      </w:pPr>
      <w:r>
        <w:rPr>
          <w:b/>
          <w:bCs/>
        </w:rPr>
        <w:t>4. Anamnestisk remissinformation</w:t>
      </w:r>
    </w:p>
    <w:p w14:paraId="75A1D523" w14:textId="77777777" w:rsidR="00C66288" w:rsidRDefault="00000000">
      <w:pPr>
        <w:shd w:val="clear" w:color="auto" w:fill="FFFFFF"/>
        <w:spacing w:before="240" w:after="240"/>
      </w:pPr>
      <w:r>
        <w:t xml:space="preserve">Utöver sedvanliga uppgifter om patientens identiter, svarsmottagare, betalande enhet mm bör remissen innehålla information om: </w:t>
      </w:r>
    </w:p>
    <w:p w14:paraId="5C7A9D85" w14:textId="77777777" w:rsidR="00C66288" w:rsidRDefault="00000000">
      <w:pPr>
        <w:numPr>
          <w:ilvl w:val="0"/>
          <w:numId w:val="1"/>
        </w:numPr>
        <w:shd w:val="clear" w:color="auto" w:fill="FFFFFF"/>
        <w:spacing w:before="240"/>
      </w:pPr>
      <w:r>
        <w:t>Känd smittfara (HIV, HBV, HCV mm)</w:t>
      </w:r>
    </w:p>
    <w:p w14:paraId="66F9D041" w14:textId="77777777" w:rsidR="00C66288" w:rsidRDefault="00000000">
      <w:pPr>
        <w:numPr>
          <w:ilvl w:val="0"/>
          <w:numId w:val="1"/>
        </w:numPr>
        <w:shd w:val="clear" w:color="auto" w:fill="FFFFFF"/>
      </w:pPr>
      <w:r>
        <w:t>Om snabbsvar önskas och i så fall kontaktuppgifter</w:t>
      </w:r>
    </w:p>
    <w:p w14:paraId="18B73EC2" w14:textId="77777777" w:rsidR="00C66288" w:rsidRDefault="00000000">
      <w:pPr>
        <w:numPr>
          <w:ilvl w:val="0"/>
          <w:numId w:val="1"/>
        </w:numPr>
        <w:shd w:val="clear" w:color="auto" w:fill="FFFFFF"/>
      </w:pPr>
      <w:r>
        <w:t>Provtagningsdatum och klockslag</w:t>
      </w:r>
    </w:p>
    <w:p w14:paraId="48EF5698" w14:textId="77777777" w:rsidR="00C66288" w:rsidRDefault="00000000">
      <w:pPr>
        <w:numPr>
          <w:ilvl w:val="0"/>
          <w:numId w:val="1"/>
        </w:numPr>
        <w:shd w:val="clear" w:color="auto" w:fill="FFFFFF"/>
      </w:pPr>
      <w:r>
        <w:t>Typ av fixering</w:t>
      </w:r>
    </w:p>
    <w:p w14:paraId="20D9CEF3" w14:textId="77777777" w:rsidR="00C66288" w:rsidRDefault="00000000">
      <w:pPr>
        <w:numPr>
          <w:ilvl w:val="0"/>
          <w:numId w:val="1"/>
        </w:numPr>
        <w:shd w:val="clear" w:color="auto" w:fill="FFFFFF"/>
      </w:pPr>
      <w:r>
        <w:t>Typ av preparat (inkl. preparatförteckning om flera preparat)</w:t>
      </w:r>
    </w:p>
    <w:p w14:paraId="5EE50FED" w14:textId="77777777" w:rsidR="00C66288" w:rsidRDefault="00000000">
      <w:pPr>
        <w:numPr>
          <w:ilvl w:val="0"/>
          <w:numId w:val="1"/>
        </w:numPr>
        <w:shd w:val="clear" w:color="auto" w:fill="FFFFFF"/>
      </w:pPr>
      <w:r>
        <w:t>Klinisk bedömning/diagnos inkl. relevanta radiologiska fynd, labfynd, tidigare sjukdomar (fr.a. om immunbristtillstånd föreligger), statusfynd, fynd i samband med provtagningen, tidigare PAD/CD (fr.a. om utredning/analys vid annan enhet)</w:t>
      </w:r>
    </w:p>
    <w:p w14:paraId="14A0D429" w14:textId="77777777" w:rsidR="00C66288" w:rsidRDefault="00000000">
      <w:pPr>
        <w:numPr>
          <w:ilvl w:val="0"/>
          <w:numId w:val="1"/>
        </w:numPr>
        <w:shd w:val="clear" w:color="auto" w:fill="FFFFFF"/>
        <w:spacing w:after="240"/>
      </w:pPr>
      <w:r>
        <w:t>Frågeställning inkl. vilken/vilka infektioner/agens som kan misstänkas då vissa kräver specifika analyser för att påvisa</w:t>
      </w:r>
    </w:p>
    <w:p w14:paraId="78F7F34C" w14:textId="77777777" w:rsidR="00C66288" w:rsidRDefault="00C66288">
      <w:pPr>
        <w:shd w:val="clear" w:color="auto" w:fill="FFFFFF"/>
        <w:spacing w:before="240" w:after="240"/>
      </w:pPr>
    </w:p>
    <w:p w14:paraId="5B3D929C" w14:textId="77777777" w:rsidR="00C66288" w:rsidRDefault="00000000">
      <w:pPr>
        <w:shd w:val="clear" w:color="auto" w:fill="FFFFFF"/>
        <w:spacing w:before="240" w:after="240"/>
      </w:pPr>
      <w:r>
        <w:rPr>
          <w:b/>
          <w:bCs/>
        </w:rPr>
        <w:t>5. Hantering av prover på patologlaboratoriet</w:t>
      </w:r>
    </w:p>
    <w:p w14:paraId="642E4901" w14:textId="77777777" w:rsidR="00C66288" w:rsidRDefault="00000000">
      <w:pPr>
        <w:shd w:val="clear" w:color="auto" w:fill="FFFFFF"/>
        <w:spacing w:before="240" w:after="240"/>
      </w:pPr>
      <w:r>
        <w:t xml:space="preserve">Generellt ska alla prover som inkommer till patologavdelning hanteras som potientiellt smittsamma oavsett frågeställning, men vid bekräftad eller stark misstanke om infektiös process som potentiellt kan smitta personal vid patologavdelningen (fr.a. mykobakterier, </w:t>
      </w:r>
      <w:r>
        <w:lastRenderedPageBreak/>
        <w:t xml:space="preserve">utöver blodsmittor) ska relevanta skyddsåtgärder vidtas. Bl.a. är längre fixering typiskt aktuellt för sådana prover. </w:t>
      </w:r>
    </w:p>
    <w:p w14:paraId="5EB39F80" w14:textId="77777777" w:rsidR="00C66288" w:rsidRDefault="00000000">
      <w:pPr>
        <w:shd w:val="clear" w:color="auto" w:fill="FFFFFF"/>
        <w:spacing w:before="240" w:after="240"/>
        <w:rPr>
          <w:i/>
          <w:iCs/>
        </w:rPr>
      </w:pPr>
      <w:r>
        <w:rPr>
          <w:i/>
          <w:iCs/>
        </w:rPr>
        <w:t xml:space="preserve">Cytologi </w:t>
      </w:r>
    </w:p>
    <w:p w14:paraId="2BFAE02C" w14:textId="77777777" w:rsidR="00C66288" w:rsidRDefault="00000000">
      <w:pPr>
        <w:shd w:val="clear" w:color="auto" w:fill="FFFFFF"/>
        <w:spacing w:before="240" w:after="240"/>
      </w:pPr>
      <w:r>
        <w:t xml:space="preserve">Cytologi hanteras enligt lokal rutin utifrån typ av prov och fixering. </w:t>
      </w:r>
    </w:p>
    <w:p w14:paraId="5276B653" w14:textId="77777777" w:rsidR="00C66288" w:rsidRDefault="00000000">
      <w:pPr>
        <w:shd w:val="clear" w:color="auto" w:fill="FFFFFF"/>
        <w:spacing w:before="240" w:after="240"/>
        <w:rPr>
          <w:i/>
          <w:iCs/>
        </w:rPr>
      </w:pPr>
      <w:r>
        <w:rPr>
          <w:i/>
          <w:iCs/>
        </w:rPr>
        <w:t xml:space="preserve">Biopsier </w:t>
      </w:r>
    </w:p>
    <w:p w14:paraId="2F3D6CCA" w14:textId="77777777" w:rsidR="00C66288" w:rsidRDefault="00000000">
      <w:pPr>
        <w:shd w:val="clear" w:color="auto" w:fill="FFFFFF"/>
        <w:spacing w:before="240" w:after="240"/>
      </w:pPr>
      <w:r>
        <w:t xml:space="preserve">Biopsier fixeras i formalin i typiskt 24 timmar. Kortare eller längre fixering (6-72 h) påverkar sällan olika analyser kvalitetsmässigt, medan ännu längre fixering kan påverka fr.a. molekylära analyser inkl. sekvensering och FISH. För kort fixering bör undvikas vid misstanke om infektiös process. </w:t>
      </w:r>
    </w:p>
    <w:p w14:paraId="628344AB" w14:textId="77777777" w:rsidR="00C66288" w:rsidRDefault="00000000">
      <w:pPr>
        <w:shd w:val="clear" w:color="auto" w:fill="FFFFFF"/>
        <w:spacing w:before="240" w:after="240"/>
        <w:rPr>
          <w:i/>
          <w:iCs/>
        </w:rPr>
      </w:pPr>
      <w:r>
        <w:rPr>
          <w:i/>
          <w:iCs/>
        </w:rPr>
        <w:t xml:space="preserve">Resektat </w:t>
      </w:r>
    </w:p>
    <w:p w14:paraId="60EE324E" w14:textId="77777777" w:rsidR="00C66288" w:rsidRDefault="00000000">
      <w:pPr>
        <w:shd w:val="clear" w:color="auto" w:fill="FFFFFF"/>
        <w:spacing w:before="240" w:after="240"/>
      </w:pPr>
      <w:r>
        <w:t>Om resektat ankommer färskt och det inte varit möjligt att ta preoperativt prov till Klinisk mikrobiologi bör man, om relevant och möjligt, ta prov från resektatet till mikrobiologi vid patologavdelningen innan fixering.</w:t>
      </w:r>
    </w:p>
    <w:p w14:paraId="2D0CC08A" w14:textId="77777777" w:rsidR="00C66288" w:rsidRDefault="00000000">
      <w:pPr>
        <w:shd w:val="clear" w:color="auto" w:fill="FFFFFF"/>
        <w:spacing w:before="240" w:after="240"/>
      </w:pPr>
      <w:r>
        <w:t xml:space="preserve">De flesta resektat fixeras i formalin i typiskt 24 timmar. Vissa resektat (t.ex. lungpreparat) fixeras lämpligen 48 timmar. Längre tid, liksom andra åtgärder för bättre fixering (genomskärning av preparat, insprutning av formalin etc) kan vara aktuellt om risk för dålig fixering. </w:t>
      </w:r>
    </w:p>
    <w:p w14:paraId="5D433EAE" w14:textId="77777777" w:rsidR="00C66288" w:rsidRDefault="00000000">
      <w:pPr>
        <w:shd w:val="clear" w:color="auto" w:fill="FFFFFF"/>
        <w:spacing w:before="240" w:after="240"/>
      </w:pPr>
      <w:r>
        <w:t xml:space="preserve">Längre fixering (upp till 72 h) påverkar sällan olika analyser kvalitetsmässigt, medan ännu längre fixering kan påverka fr.a. molekylära analyser inkl. sekvensering och FISH. För kort fixering bör undvikas vid misstanke om infektiös process. </w:t>
      </w:r>
    </w:p>
    <w:p w14:paraId="77C87D2A" w14:textId="77777777" w:rsidR="00C66288" w:rsidRDefault="00000000">
      <w:pPr>
        <w:shd w:val="clear" w:color="auto" w:fill="FFFFFF"/>
        <w:spacing w:before="240" w:after="240"/>
      </w:pPr>
      <w:r>
        <w:t xml:space="preserve">Utskärningsanvisningar beror på typ av resektat och om malignitet ingår som differentialdiagnos. Från infektiös process tas generellt lagom många bitar från relevanta strukturer samt ev. normalvävnad. </w:t>
      </w:r>
    </w:p>
    <w:p w14:paraId="617699EF" w14:textId="77777777" w:rsidR="00C66288" w:rsidRDefault="00C66288">
      <w:pPr>
        <w:shd w:val="clear" w:color="auto" w:fill="FFFFFF"/>
        <w:spacing w:before="240" w:after="240"/>
        <w:rPr>
          <w:i/>
          <w:iCs/>
        </w:rPr>
      </w:pPr>
    </w:p>
    <w:p w14:paraId="1DFC5266" w14:textId="77777777" w:rsidR="00C66288" w:rsidRDefault="00000000">
      <w:pPr>
        <w:shd w:val="clear" w:color="auto" w:fill="FFFFFF"/>
        <w:spacing w:before="240" w:after="240"/>
        <w:rPr>
          <w:b/>
          <w:bCs/>
        </w:rPr>
      </w:pPr>
      <w:r>
        <w:rPr>
          <w:b/>
          <w:bCs/>
        </w:rPr>
        <w:t>6. Analyser</w:t>
      </w:r>
    </w:p>
    <w:p w14:paraId="73F1CE18" w14:textId="77777777" w:rsidR="00C66288" w:rsidRDefault="00000000">
      <w:pPr>
        <w:shd w:val="clear" w:color="auto" w:fill="FFFFFF"/>
        <w:spacing w:before="240" w:after="240"/>
      </w:pPr>
      <w:r>
        <w:t xml:space="preserve">Se Appendix 1 för en förteckning över relevanta analyser som finns uppsatta vid universitetsavdelningar i Sverige. En del analyser, som kan vara aktuella i enstaka fall, kan även utföras via Folkhälsomyndigheten </w:t>
      </w:r>
      <w:hyperlink r:id="rId7">
        <w:r>
          <w:rPr>
            <w:color w:val="1155CC"/>
            <w:u w:val="single"/>
          </w:rPr>
          <w:t>https://www.folkhalsomyndigheten.se/mikrobiologi-laboratorieanalyser/laboratorieanalyser-och-tjanster/analyskatalog/</w:t>
        </w:r>
      </w:hyperlink>
    </w:p>
    <w:p w14:paraId="1E7C7405" w14:textId="77777777" w:rsidR="00C66288" w:rsidRDefault="00000000">
      <w:pPr>
        <w:shd w:val="clear" w:color="auto" w:fill="FFFFFF"/>
        <w:spacing w:before="240" w:after="240"/>
      </w:pPr>
      <w:r>
        <w:t xml:space="preserve">I grunden går samtliga analyser att utföra på både cytologi och histologiska preparat, men t.ex. är vissa immunfärgningar känsliga för fixeringsmedel och fungerar sämre vid alkoholbaserat fixativ. Vidare är mikrobiologiska analyser som regel ursprungligen inte utprovade på formalinfixerat material, och modifieringar av protokoll kan behövas. </w:t>
      </w:r>
    </w:p>
    <w:p w14:paraId="277B9CB0" w14:textId="77777777" w:rsidR="00C66288" w:rsidRDefault="00000000">
      <w:pPr>
        <w:shd w:val="clear" w:color="auto" w:fill="FFFFFF"/>
        <w:spacing w:before="240" w:after="240"/>
      </w:pPr>
      <w:r>
        <w:t xml:space="preserve">Ansvaret för validering av färgningar och andra analyser ligger på den enskilda avdelningen, och ett systematiskt internt kvalitetsarbete är en förutsättning för högkvalitativ diagnostik. Begränsningar i metoders sensitivitet och specificitet bör förtydligas för svarsmottagare när </w:t>
      </w:r>
      <w:r>
        <w:lastRenderedPageBreak/>
        <w:t xml:space="preserve">relevant. T.ex. har specialfärgning för mykobakterier begränsad sensitivitet på formalin-fixerat paraffin-inbäddat material, 18-27% i några studier (se referenslista). </w:t>
      </w:r>
    </w:p>
    <w:p w14:paraId="4C36E09B" w14:textId="77777777" w:rsidR="00C66288" w:rsidRDefault="00C66288">
      <w:pPr>
        <w:shd w:val="clear" w:color="auto" w:fill="FFFFFF"/>
        <w:spacing w:before="240" w:after="240"/>
      </w:pPr>
    </w:p>
    <w:p w14:paraId="70537DE3" w14:textId="77777777" w:rsidR="00C66288" w:rsidRDefault="00000000">
      <w:pPr>
        <w:shd w:val="clear" w:color="auto" w:fill="FFFFFF"/>
        <w:spacing w:before="240" w:after="240"/>
        <w:rPr>
          <w:b/>
          <w:bCs/>
        </w:rPr>
      </w:pPr>
      <w:r>
        <w:rPr>
          <w:b/>
          <w:bCs/>
        </w:rPr>
        <w:t>7. Information i remissens svarsdel</w:t>
      </w:r>
    </w:p>
    <w:p w14:paraId="4E1156AA" w14:textId="77777777" w:rsidR="00C66288" w:rsidRDefault="00000000">
      <w:pPr>
        <w:shd w:val="clear" w:color="auto" w:fill="FFFFFF"/>
        <w:spacing w:before="240" w:after="240"/>
      </w:pPr>
      <w:r>
        <w:t xml:space="preserve">Preparatet, relevanta morfologiska fynd och resultat av tilläggsanalyser beskrivs. Bedömning om mikroorganismer bör relatera till infektion eller kolonisering beskrivs om möjligt. Ev. begränsningar i analyser bör framgå när relevant. </w:t>
      </w:r>
    </w:p>
    <w:p w14:paraId="0A369280" w14:textId="77777777" w:rsidR="00C66288" w:rsidRDefault="00C66288">
      <w:pPr>
        <w:shd w:val="clear" w:color="auto" w:fill="FFFFFF"/>
        <w:spacing w:before="240" w:after="240"/>
        <w:rPr>
          <w:i/>
          <w:iCs/>
        </w:rPr>
      </w:pPr>
    </w:p>
    <w:p w14:paraId="6A9EEAB3" w14:textId="77777777" w:rsidR="00C66288" w:rsidRDefault="00000000">
      <w:pPr>
        <w:shd w:val="clear" w:color="auto" w:fill="FFFFFF"/>
        <w:spacing w:before="240" w:after="240"/>
        <w:rPr>
          <w:b/>
          <w:bCs/>
        </w:rPr>
      </w:pPr>
      <w:r>
        <w:rPr>
          <w:b/>
          <w:bCs/>
        </w:rPr>
        <w:t>8. Administrativt och övrigt</w:t>
      </w:r>
    </w:p>
    <w:p w14:paraId="6D9EC9B0" w14:textId="77777777" w:rsidR="00C66288" w:rsidRDefault="00000000">
      <w:pPr>
        <w:shd w:val="clear" w:color="auto" w:fill="FFFFFF"/>
        <w:spacing w:before="240" w:after="240"/>
      </w:pPr>
      <w:r>
        <w:t>KVAST-gruppen har tagit fram ett separat dokument i form av en patologisk atlas över olika infektionssjukdomar. Dokumentet är varken komplett eller styrande, men är ett levande dokument som syftar till att fungera som en enkel och kortfattad atlas.</w:t>
      </w:r>
    </w:p>
    <w:p w14:paraId="7FAC5E05" w14:textId="77777777" w:rsidR="00C66288" w:rsidRDefault="00000000">
      <w:pPr>
        <w:shd w:val="clear" w:color="auto" w:fill="FFFFFF"/>
        <w:spacing w:before="240" w:after="240"/>
      </w:pPr>
      <w:r>
        <w:t xml:space="preserve">Information om anmälningspliktiga sjukdomar finns på Folkhälsomyndighetens hemsida  </w:t>
      </w:r>
      <w:hyperlink r:id="rId8">
        <w:r>
          <w:rPr>
            <w:color w:val="1155CC"/>
            <w:u w:val="single"/>
          </w:rPr>
          <w:t>https://www.folkhalsomyndigheten.se/anmal-och-rapportera/anmala-och-rapportera-smitta/anmala-anmalningspliktiga-sjukdomar-i-sminet/</w:t>
        </w:r>
      </w:hyperlink>
    </w:p>
    <w:p w14:paraId="129FD40A" w14:textId="77777777" w:rsidR="00C66288" w:rsidRDefault="00000000">
      <w:pPr>
        <w:shd w:val="clear" w:color="auto" w:fill="FFFFFF"/>
        <w:spacing w:before="240" w:after="240"/>
      </w:pPr>
      <w:r>
        <w:t xml:space="preserve">Vårdprogram för (selekterade) infektioner finns på Svenska Infektionsläkarföreningens hemsida </w:t>
      </w:r>
      <w:hyperlink r:id="rId9">
        <w:r>
          <w:rPr>
            <w:color w:val="1155CC"/>
            <w:u w:val="single"/>
          </w:rPr>
          <w:t>https://infektion.net/kunskap-dokument/kunskap/vardprogram/</w:t>
        </w:r>
      </w:hyperlink>
      <w:r>
        <w:t xml:space="preserve"> </w:t>
      </w:r>
    </w:p>
    <w:p w14:paraId="18963E9B" w14:textId="77777777" w:rsidR="00C66288" w:rsidRDefault="00C66288">
      <w:pPr>
        <w:shd w:val="clear" w:color="auto" w:fill="FFFFFF"/>
        <w:spacing w:before="240" w:after="240"/>
        <w:rPr>
          <w:i/>
          <w:iCs/>
        </w:rPr>
      </w:pPr>
    </w:p>
    <w:p w14:paraId="56EC71E9" w14:textId="77777777" w:rsidR="00C66288" w:rsidRDefault="00000000">
      <w:pPr>
        <w:shd w:val="clear" w:color="auto" w:fill="FFFFFF"/>
        <w:spacing w:before="240" w:after="240"/>
        <w:rPr>
          <w:b/>
          <w:bCs/>
        </w:rPr>
      </w:pPr>
      <w:r>
        <w:rPr>
          <w:b/>
          <w:bCs/>
        </w:rPr>
        <w:t>9. Referenser och litteraturförteckning</w:t>
      </w:r>
    </w:p>
    <w:p w14:paraId="47DADAED" w14:textId="77777777" w:rsidR="00C66288" w:rsidRDefault="00000000">
      <w:pPr>
        <w:shd w:val="clear" w:color="auto" w:fill="FFFFFF"/>
        <w:spacing w:before="240" w:after="240"/>
        <w:rPr>
          <w:u w:val="single"/>
        </w:rPr>
      </w:pPr>
      <w:r>
        <w:rPr>
          <w:u w:val="single"/>
        </w:rPr>
        <w:t xml:space="preserve">Läroböcker </w:t>
      </w:r>
    </w:p>
    <w:p w14:paraId="320D836D" w14:textId="77777777" w:rsidR="00C66288" w:rsidRDefault="00000000">
      <w:pPr>
        <w:shd w:val="clear" w:color="auto" w:fill="FFFFFF"/>
        <w:spacing w:before="240" w:after="240"/>
      </w:pPr>
      <w:r>
        <w:t xml:space="preserve">Diagnostic Pathology: Infectious Diseases, 3rd Edition. Solomon IH, Milner D (editors). Elsevier, 2023. </w:t>
      </w:r>
    </w:p>
    <w:p w14:paraId="4B77B175" w14:textId="77777777" w:rsidR="00C66288" w:rsidRDefault="00000000">
      <w:pPr>
        <w:shd w:val="clear" w:color="auto" w:fill="FFFFFF"/>
        <w:spacing w:before="240" w:after="240"/>
      </w:pPr>
      <w:r>
        <w:t>Diagnostic Pathology of Infectious Disease, 2nd Edition. Kradin RL (editor). Elsevier, 2017.</w:t>
      </w:r>
    </w:p>
    <w:p w14:paraId="49DFAC92" w14:textId="77777777" w:rsidR="00C66288" w:rsidRDefault="00000000">
      <w:pPr>
        <w:shd w:val="clear" w:color="auto" w:fill="FFFFFF"/>
        <w:spacing w:before="240" w:after="240"/>
      </w:pPr>
      <w:r>
        <w:t>Atlas of Infectious Disease Pathology. Schmitt BH (editor). Springer, 2017.</w:t>
      </w:r>
    </w:p>
    <w:p w14:paraId="24EC396D" w14:textId="77777777" w:rsidR="00C66288" w:rsidRDefault="00000000">
      <w:pPr>
        <w:shd w:val="clear" w:color="auto" w:fill="FFFFFF"/>
        <w:spacing w:before="240" w:after="240"/>
      </w:pPr>
      <w:r>
        <w:t>Mandell, Douglas, and Bennett's Principles and Practice of Infectious Diseases, 10th Edition. Blaser MJ, Cohen JI, Holland SM (editors). Elsevier, 2025.</w:t>
      </w:r>
    </w:p>
    <w:p w14:paraId="1563E304" w14:textId="77777777" w:rsidR="00C66288" w:rsidRDefault="00C66288">
      <w:pPr>
        <w:shd w:val="clear" w:color="auto" w:fill="FFFFFF"/>
        <w:spacing w:before="240" w:after="240"/>
      </w:pPr>
    </w:p>
    <w:p w14:paraId="3408D0D1" w14:textId="77777777" w:rsidR="00C66288" w:rsidRDefault="00000000">
      <w:pPr>
        <w:shd w:val="clear" w:color="auto" w:fill="FFFFFF"/>
        <w:spacing w:before="240" w:after="240"/>
        <w:rPr>
          <w:u w:val="single"/>
        </w:rPr>
      </w:pPr>
      <w:r>
        <w:rPr>
          <w:u w:val="single"/>
        </w:rPr>
        <w:t>Hemsidor</w:t>
      </w:r>
    </w:p>
    <w:p w14:paraId="513FBCE3" w14:textId="77777777" w:rsidR="00C66288" w:rsidRDefault="00000000">
      <w:pPr>
        <w:shd w:val="clear" w:color="auto" w:fill="FFFFFF"/>
        <w:spacing w:before="240" w:after="240"/>
      </w:pPr>
      <w:r>
        <w:t xml:space="preserve">Folkhälsomyndigheten </w:t>
      </w:r>
      <w:hyperlink r:id="rId10">
        <w:r>
          <w:rPr>
            <w:color w:val="1155CC"/>
            <w:u w:val="single"/>
          </w:rPr>
          <w:t>https://www.folkhalsomyndigheten.se/</w:t>
        </w:r>
      </w:hyperlink>
      <w:r>
        <w:t xml:space="preserve"> </w:t>
      </w:r>
    </w:p>
    <w:p w14:paraId="153E3DF0" w14:textId="77777777" w:rsidR="00C66288" w:rsidRDefault="00000000">
      <w:pPr>
        <w:shd w:val="clear" w:color="auto" w:fill="FFFFFF"/>
        <w:spacing w:before="240" w:after="240"/>
      </w:pPr>
      <w:r>
        <w:t xml:space="preserve">WHO </w:t>
      </w:r>
      <w:hyperlink r:id="rId11">
        <w:r>
          <w:rPr>
            <w:color w:val="1155CC"/>
            <w:u w:val="single"/>
          </w:rPr>
          <w:t>https://www.who.int/</w:t>
        </w:r>
      </w:hyperlink>
      <w:r>
        <w:t xml:space="preserve"> </w:t>
      </w:r>
    </w:p>
    <w:p w14:paraId="0FDAE221" w14:textId="77777777" w:rsidR="00C66288" w:rsidRDefault="00000000">
      <w:pPr>
        <w:shd w:val="clear" w:color="auto" w:fill="FFFFFF"/>
        <w:spacing w:before="240" w:after="240"/>
      </w:pPr>
      <w:r>
        <w:t xml:space="preserve">US CDC </w:t>
      </w:r>
      <w:hyperlink r:id="rId12">
        <w:r>
          <w:rPr>
            <w:color w:val="1155CC"/>
            <w:u w:val="single"/>
          </w:rPr>
          <w:t>https://www.cdc.gov/</w:t>
        </w:r>
      </w:hyperlink>
      <w:r>
        <w:t xml:space="preserve"> </w:t>
      </w:r>
    </w:p>
    <w:p w14:paraId="5B21B978" w14:textId="77777777" w:rsidR="00C66288" w:rsidRDefault="00C66288">
      <w:pPr>
        <w:shd w:val="clear" w:color="auto" w:fill="FFFFFF"/>
        <w:spacing w:before="240" w:after="240"/>
      </w:pPr>
    </w:p>
    <w:p w14:paraId="37D51440" w14:textId="77777777" w:rsidR="00C66288" w:rsidRDefault="00000000">
      <w:pPr>
        <w:shd w:val="clear" w:color="auto" w:fill="FFFFFF"/>
        <w:spacing w:before="240" w:after="240"/>
        <w:rPr>
          <w:u w:val="single"/>
        </w:rPr>
      </w:pPr>
      <w:r>
        <w:rPr>
          <w:u w:val="single"/>
        </w:rPr>
        <w:t xml:space="preserve">Generella artiklar </w:t>
      </w:r>
    </w:p>
    <w:p w14:paraId="0476A50F" w14:textId="77777777" w:rsidR="00C66288" w:rsidRDefault="00000000">
      <w:pPr>
        <w:shd w:val="clear" w:color="auto" w:fill="FFFFFF"/>
        <w:spacing w:before="240" w:after="240"/>
      </w:pPr>
      <w:r>
        <w:t xml:space="preserve">Histopathology of Infectious Diseases: a Practical Approach to Slide Examination and Interpretation: Part I of II. Marrero Rolon RM. Clinical Microbiology Newsletter 2023;45(20):167-176. </w:t>
      </w:r>
      <w:hyperlink r:id="rId13">
        <w:r>
          <w:rPr>
            <w:color w:val="1155CC"/>
            <w:u w:val="single"/>
          </w:rPr>
          <w:t>https://www.sciencedirect.com/science/article/abs/pii/S0196439923000624</w:t>
        </w:r>
      </w:hyperlink>
      <w:r>
        <w:t xml:space="preserve"> </w:t>
      </w:r>
    </w:p>
    <w:p w14:paraId="56A6E0B4" w14:textId="77777777" w:rsidR="00C66288" w:rsidRDefault="00000000">
      <w:pPr>
        <w:shd w:val="clear" w:color="auto" w:fill="FFFFFF"/>
        <w:spacing w:before="240" w:after="240"/>
      </w:pPr>
      <w:r>
        <w:t xml:space="preserve">Histopathology of Infectious Diseases: a Practical Approach to Slide Examination and Interpretation: Part II of II. Marrero Rolon RM. Clinical Microbiology Newsletter 2023;45(21):177-186. </w:t>
      </w:r>
      <w:hyperlink r:id="rId14">
        <w:r>
          <w:rPr>
            <w:color w:val="1155CC"/>
            <w:u w:val="single"/>
          </w:rPr>
          <w:t>https://www.sciencedirect.com/science/article/abs/pii/S0196439924000011</w:t>
        </w:r>
      </w:hyperlink>
      <w:r>
        <w:t xml:space="preserve"> </w:t>
      </w:r>
    </w:p>
    <w:p w14:paraId="5B073254" w14:textId="77777777" w:rsidR="00C66288" w:rsidRDefault="00C66288">
      <w:pPr>
        <w:shd w:val="clear" w:color="auto" w:fill="FFFFFF"/>
        <w:spacing w:before="240" w:after="240"/>
      </w:pPr>
    </w:p>
    <w:p w14:paraId="3E22B1A8" w14:textId="77777777" w:rsidR="00C66288" w:rsidRDefault="00000000">
      <w:pPr>
        <w:shd w:val="clear" w:color="auto" w:fill="FFFFFF"/>
        <w:spacing w:before="240" w:after="240"/>
        <w:rPr>
          <w:u w:val="single"/>
        </w:rPr>
      </w:pPr>
      <w:r>
        <w:rPr>
          <w:u w:val="single"/>
        </w:rPr>
        <w:t xml:space="preserve">Detektion av mykobakterier </w:t>
      </w:r>
    </w:p>
    <w:p w14:paraId="54065E82" w14:textId="77777777" w:rsidR="00C66288" w:rsidRDefault="00000000">
      <w:pPr>
        <w:shd w:val="clear" w:color="auto" w:fill="FFFFFF"/>
        <w:spacing w:before="240" w:after="240"/>
      </w:pPr>
      <w:r>
        <w:t xml:space="preserve">Mycobacterium tuberculosis complex detected by modified fluorescent in situ hybridization in lymph nodes of clinical samples. Rodriguez-Nuñez J, Avelar FJ, Marquez F, Rivas-Santiago B, Quiñones C, Guerrero-Barrera AL. J Infect Dev Ctries. 2012;6(1):58-66. </w:t>
      </w:r>
      <w:hyperlink r:id="rId15">
        <w:r>
          <w:rPr>
            <w:color w:val="1155CC"/>
            <w:u w:val="single"/>
          </w:rPr>
          <w:t>https://pubmed.ncbi.nlm.nih.gov/22240430/</w:t>
        </w:r>
      </w:hyperlink>
    </w:p>
    <w:p w14:paraId="13649153" w14:textId="77777777" w:rsidR="00C66288" w:rsidRDefault="00000000">
      <w:pPr>
        <w:shd w:val="clear" w:color="auto" w:fill="FFFFFF"/>
        <w:spacing w:before="240" w:after="240"/>
      </w:pPr>
      <w:r>
        <w:t xml:space="preserve">Comparison of Ziehl-Neelsen Stain and TB-PCR on Detection of Mycobacterium tuberculosisin Formalin-fixed, Paraffin-embedded Tissues of Chronic Granulomatous Inflammation. Min Sun Cho, Shi Nae Lee, Sun Hee Sung, Woon Sup Han. The Korean Journal of Pathology. 2003;37(6):379-383. </w:t>
      </w:r>
      <w:hyperlink r:id="rId16">
        <w:r>
          <w:rPr>
            <w:color w:val="1155CC"/>
            <w:u w:val="single"/>
          </w:rPr>
          <w:t>https://www.jpatholtm.org/journal/view.php?number=2281</w:t>
        </w:r>
      </w:hyperlink>
      <w:r>
        <w:t xml:space="preserve"> </w:t>
      </w:r>
    </w:p>
    <w:p w14:paraId="1427C671" w14:textId="77777777" w:rsidR="00C66288" w:rsidRDefault="00000000">
      <w:pPr>
        <w:shd w:val="clear" w:color="auto" w:fill="FFFFFF"/>
        <w:spacing w:before="240" w:after="240"/>
      </w:pPr>
      <w:r>
        <w:br w:type="page"/>
      </w:r>
    </w:p>
    <w:p w14:paraId="4E8AF6C4" w14:textId="77777777" w:rsidR="00A076B3" w:rsidRDefault="00A076B3">
      <w:pPr>
        <w:shd w:val="clear" w:color="auto" w:fill="FFFFFF"/>
        <w:spacing w:before="240" w:after="240"/>
        <w:rPr>
          <w:b/>
          <w:bCs/>
        </w:rPr>
        <w:sectPr w:rsidR="00A076B3">
          <w:footerReference w:type="default" r:id="rId17"/>
          <w:pgSz w:w="11909" w:h="16834"/>
          <w:pgMar w:top="1440" w:right="1440" w:bottom="1440" w:left="1440" w:header="720" w:footer="720" w:gutter="0"/>
          <w:pgNumType w:start="1"/>
          <w:cols w:space="720"/>
        </w:sectPr>
      </w:pPr>
    </w:p>
    <w:p w14:paraId="54F493BF" w14:textId="77777777" w:rsidR="00C66288" w:rsidRDefault="00000000">
      <w:pPr>
        <w:shd w:val="clear" w:color="auto" w:fill="FFFFFF"/>
        <w:spacing w:before="240" w:after="240"/>
      </w:pPr>
      <w:r>
        <w:rPr>
          <w:b/>
          <w:bCs/>
        </w:rPr>
        <w:lastRenderedPageBreak/>
        <w:t>Appendix 1. Analyser vid olika avdelningar i Sverige</w:t>
      </w:r>
      <w:r>
        <w:t xml:space="preserve"> </w:t>
      </w:r>
    </w:p>
    <w:tbl>
      <w:tblPr>
        <w:tblW w:w="5000" w:type="pct"/>
        <w:tblCellMar>
          <w:left w:w="70" w:type="dxa"/>
          <w:right w:w="70" w:type="dxa"/>
        </w:tblCellMar>
        <w:tblLook w:val="04A0" w:firstRow="1" w:lastRow="0" w:firstColumn="1" w:lastColumn="0" w:noHBand="0" w:noVBand="1"/>
      </w:tblPr>
      <w:tblGrid>
        <w:gridCol w:w="2035"/>
        <w:gridCol w:w="1866"/>
        <w:gridCol w:w="3964"/>
        <w:gridCol w:w="1954"/>
        <w:gridCol w:w="2436"/>
        <w:gridCol w:w="1654"/>
        <w:gridCol w:w="1213"/>
      </w:tblGrid>
      <w:tr w:rsidR="00A076B3" w:rsidRPr="00A076B3" w14:paraId="47690721" w14:textId="77777777" w:rsidTr="00A076B3">
        <w:trPr>
          <w:trHeight w:val="288"/>
        </w:trPr>
        <w:tc>
          <w:tcPr>
            <w:tcW w:w="673" w:type="pct"/>
            <w:tcBorders>
              <w:top w:val="single" w:sz="4" w:space="0" w:color="auto"/>
              <w:left w:val="single" w:sz="4" w:space="0" w:color="auto"/>
              <w:bottom w:val="single" w:sz="4" w:space="0" w:color="auto"/>
              <w:right w:val="single" w:sz="4" w:space="0" w:color="auto"/>
            </w:tcBorders>
            <w:noWrap/>
            <w:vAlign w:val="center"/>
            <w:hideMark/>
          </w:tcPr>
          <w:p w14:paraId="27399855" w14:textId="77777777" w:rsidR="00A076B3" w:rsidRPr="00A076B3" w:rsidRDefault="00A076B3" w:rsidP="00A076B3">
            <w:pPr>
              <w:spacing w:line="240" w:lineRule="auto"/>
              <w:rPr>
                <w:rFonts w:eastAsia="Times New Roman"/>
                <w:b/>
                <w:bCs/>
                <w:color w:val="000000"/>
                <w:sz w:val="18"/>
                <w:szCs w:val="18"/>
                <w:lang w:val="sv-SE"/>
              </w:rPr>
            </w:pPr>
            <w:r w:rsidRPr="00A076B3">
              <w:rPr>
                <w:rFonts w:eastAsia="Times New Roman"/>
                <w:b/>
                <w:bCs/>
                <w:color w:val="000000"/>
                <w:sz w:val="18"/>
                <w:szCs w:val="18"/>
                <w:lang w:val="sv-SE"/>
              </w:rPr>
              <w:t>Analys</w:t>
            </w:r>
          </w:p>
        </w:tc>
        <w:tc>
          <w:tcPr>
            <w:tcW w:w="617" w:type="pct"/>
            <w:tcBorders>
              <w:top w:val="single" w:sz="4" w:space="0" w:color="auto"/>
              <w:left w:val="nil"/>
              <w:bottom w:val="single" w:sz="4" w:space="0" w:color="auto"/>
              <w:right w:val="single" w:sz="4" w:space="0" w:color="auto"/>
            </w:tcBorders>
            <w:noWrap/>
            <w:vAlign w:val="center"/>
            <w:hideMark/>
          </w:tcPr>
          <w:p w14:paraId="6795B22B" w14:textId="77777777" w:rsidR="00A076B3" w:rsidRPr="00A076B3" w:rsidRDefault="00A076B3" w:rsidP="00A076B3">
            <w:pPr>
              <w:spacing w:line="240" w:lineRule="auto"/>
              <w:rPr>
                <w:rFonts w:eastAsia="Times New Roman"/>
                <w:b/>
                <w:bCs/>
                <w:color w:val="000000"/>
                <w:sz w:val="18"/>
                <w:szCs w:val="18"/>
                <w:lang w:val="sv-SE"/>
              </w:rPr>
            </w:pPr>
            <w:r w:rsidRPr="00A076B3">
              <w:rPr>
                <w:rFonts w:eastAsia="Times New Roman"/>
                <w:b/>
                <w:bCs/>
                <w:color w:val="000000"/>
                <w:sz w:val="18"/>
                <w:szCs w:val="18"/>
                <w:lang w:val="sv-SE"/>
              </w:rPr>
              <w:t>Typ av analys</w:t>
            </w:r>
          </w:p>
        </w:tc>
        <w:tc>
          <w:tcPr>
            <w:tcW w:w="1311" w:type="pct"/>
            <w:tcBorders>
              <w:top w:val="single" w:sz="4" w:space="0" w:color="auto"/>
              <w:left w:val="nil"/>
              <w:bottom w:val="single" w:sz="4" w:space="0" w:color="auto"/>
              <w:right w:val="single" w:sz="4" w:space="0" w:color="auto"/>
            </w:tcBorders>
            <w:noWrap/>
            <w:vAlign w:val="center"/>
            <w:hideMark/>
          </w:tcPr>
          <w:p w14:paraId="74E10BC9" w14:textId="77777777" w:rsidR="00A076B3" w:rsidRPr="00A076B3" w:rsidRDefault="00A076B3" w:rsidP="00A076B3">
            <w:pPr>
              <w:spacing w:line="240" w:lineRule="auto"/>
              <w:rPr>
                <w:rFonts w:eastAsia="Times New Roman"/>
                <w:b/>
                <w:bCs/>
                <w:color w:val="000000"/>
                <w:sz w:val="18"/>
                <w:szCs w:val="18"/>
                <w:lang w:val="sv-SE"/>
              </w:rPr>
            </w:pPr>
            <w:r w:rsidRPr="00A076B3">
              <w:rPr>
                <w:rFonts w:eastAsia="Times New Roman"/>
                <w:b/>
                <w:bCs/>
                <w:color w:val="000000"/>
                <w:sz w:val="18"/>
                <w:szCs w:val="18"/>
                <w:lang w:val="sv-SE"/>
              </w:rPr>
              <w:t>Analyserar</w:t>
            </w:r>
          </w:p>
        </w:tc>
        <w:tc>
          <w:tcPr>
            <w:tcW w:w="646" w:type="pct"/>
            <w:tcBorders>
              <w:top w:val="single" w:sz="4" w:space="0" w:color="auto"/>
              <w:left w:val="nil"/>
              <w:bottom w:val="single" w:sz="4" w:space="0" w:color="auto"/>
              <w:right w:val="single" w:sz="4" w:space="0" w:color="auto"/>
            </w:tcBorders>
            <w:noWrap/>
            <w:vAlign w:val="center"/>
            <w:hideMark/>
          </w:tcPr>
          <w:p w14:paraId="788E1AFF" w14:textId="77777777" w:rsidR="00A076B3" w:rsidRPr="00A076B3" w:rsidRDefault="00A076B3" w:rsidP="00A076B3">
            <w:pPr>
              <w:spacing w:line="240" w:lineRule="auto"/>
              <w:rPr>
                <w:rFonts w:eastAsia="Times New Roman"/>
                <w:b/>
                <w:bCs/>
                <w:color w:val="000000"/>
                <w:sz w:val="18"/>
                <w:szCs w:val="18"/>
                <w:lang w:val="sv-SE"/>
              </w:rPr>
            </w:pPr>
            <w:r w:rsidRPr="00A076B3">
              <w:rPr>
                <w:rFonts w:eastAsia="Times New Roman"/>
                <w:b/>
                <w:bCs/>
                <w:color w:val="000000"/>
                <w:sz w:val="18"/>
                <w:szCs w:val="18"/>
                <w:lang w:val="sv-SE"/>
              </w:rPr>
              <w:t>Lund</w:t>
            </w:r>
          </w:p>
        </w:tc>
        <w:tc>
          <w:tcPr>
            <w:tcW w:w="805" w:type="pct"/>
            <w:tcBorders>
              <w:top w:val="single" w:sz="4" w:space="0" w:color="auto"/>
              <w:left w:val="nil"/>
              <w:bottom w:val="single" w:sz="4" w:space="0" w:color="auto"/>
              <w:right w:val="single" w:sz="4" w:space="0" w:color="auto"/>
            </w:tcBorders>
            <w:noWrap/>
            <w:vAlign w:val="center"/>
            <w:hideMark/>
          </w:tcPr>
          <w:p w14:paraId="7EAEA7F0" w14:textId="77777777" w:rsidR="00A076B3" w:rsidRPr="00A076B3" w:rsidRDefault="00A076B3" w:rsidP="00A076B3">
            <w:pPr>
              <w:spacing w:line="240" w:lineRule="auto"/>
              <w:rPr>
                <w:rFonts w:eastAsia="Times New Roman"/>
                <w:b/>
                <w:bCs/>
                <w:color w:val="000000"/>
                <w:sz w:val="18"/>
                <w:szCs w:val="18"/>
                <w:lang w:val="sv-SE"/>
              </w:rPr>
            </w:pPr>
            <w:r w:rsidRPr="00A076B3">
              <w:rPr>
                <w:rFonts w:eastAsia="Times New Roman"/>
                <w:b/>
                <w:bCs/>
                <w:color w:val="000000"/>
                <w:sz w:val="18"/>
                <w:szCs w:val="18"/>
                <w:lang w:val="sv-SE"/>
              </w:rPr>
              <w:t>Linköping</w:t>
            </w:r>
          </w:p>
        </w:tc>
        <w:tc>
          <w:tcPr>
            <w:tcW w:w="547" w:type="pct"/>
            <w:tcBorders>
              <w:top w:val="single" w:sz="4" w:space="0" w:color="auto"/>
              <w:left w:val="nil"/>
              <w:bottom w:val="single" w:sz="4" w:space="0" w:color="auto"/>
              <w:right w:val="single" w:sz="4" w:space="0" w:color="auto"/>
            </w:tcBorders>
            <w:noWrap/>
            <w:vAlign w:val="center"/>
            <w:hideMark/>
          </w:tcPr>
          <w:p w14:paraId="0D6D9368" w14:textId="77777777" w:rsidR="00A076B3" w:rsidRPr="00A076B3" w:rsidRDefault="00A076B3" w:rsidP="00A076B3">
            <w:pPr>
              <w:spacing w:line="240" w:lineRule="auto"/>
              <w:rPr>
                <w:rFonts w:eastAsia="Times New Roman"/>
                <w:b/>
                <w:bCs/>
                <w:color w:val="000000"/>
                <w:sz w:val="18"/>
                <w:szCs w:val="18"/>
                <w:lang w:val="sv-SE"/>
              </w:rPr>
            </w:pPr>
            <w:r w:rsidRPr="00A076B3">
              <w:rPr>
                <w:rFonts w:eastAsia="Times New Roman"/>
                <w:b/>
                <w:bCs/>
                <w:color w:val="000000"/>
                <w:sz w:val="18"/>
                <w:szCs w:val="18"/>
                <w:lang w:val="sv-SE"/>
              </w:rPr>
              <w:t>Karolinska</w:t>
            </w:r>
          </w:p>
        </w:tc>
        <w:tc>
          <w:tcPr>
            <w:tcW w:w="401" w:type="pct"/>
            <w:tcBorders>
              <w:top w:val="single" w:sz="4" w:space="0" w:color="auto"/>
              <w:left w:val="nil"/>
              <w:bottom w:val="single" w:sz="4" w:space="0" w:color="auto"/>
              <w:right w:val="single" w:sz="4" w:space="0" w:color="auto"/>
            </w:tcBorders>
            <w:noWrap/>
            <w:vAlign w:val="center"/>
            <w:hideMark/>
          </w:tcPr>
          <w:p w14:paraId="3FBCC1F1" w14:textId="77777777" w:rsidR="00A076B3" w:rsidRPr="00A076B3" w:rsidRDefault="00A076B3" w:rsidP="00A076B3">
            <w:pPr>
              <w:spacing w:line="240" w:lineRule="auto"/>
              <w:rPr>
                <w:rFonts w:eastAsia="Times New Roman"/>
                <w:b/>
                <w:bCs/>
                <w:color w:val="000000"/>
                <w:sz w:val="18"/>
                <w:szCs w:val="18"/>
                <w:lang w:val="sv-SE"/>
              </w:rPr>
            </w:pPr>
            <w:r w:rsidRPr="00A076B3">
              <w:rPr>
                <w:rFonts w:eastAsia="Times New Roman"/>
                <w:b/>
                <w:bCs/>
                <w:color w:val="000000"/>
                <w:sz w:val="18"/>
                <w:szCs w:val="18"/>
                <w:lang w:val="sv-SE"/>
              </w:rPr>
              <w:t>Umeå</w:t>
            </w:r>
          </w:p>
        </w:tc>
      </w:tr>
      <w:tr w:rsidR="00A076B3" w:rsidRPr="00A076B3" w14:paraId="5ADE1519"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234348E5"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17" w:type="pct"/>
            <w:tcBorders>
              <w:top w:val="nil"/>
              <w:left w:val="nil"/>
              <w:bottom w:val="single" w:sz="4" w:space="0" w:color="auto"/>
              <w:right w:val="single" w:sz="4" w:space="0" w:color="auto"/>
            </w:tcBorders>
            <w:noWrap/>
            <w:vAlign w:val="center"/>
            <w:hideMark/>
          </w:tcPr>
          <w:p w14:paraId="67502CB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1311" w:type="pct"/>
            <w:tcBorders>
              <w:top w:val="nil"/>
              <w:left w:val="nil"/>
              <w:bottom w:val="single" w:sz="4" w:space="0" w:color="auto"/>
              <w:right w:val="single" w:sz="4" w:space="0" w:color="auto"/>
            </w:tcBorders>
            <w:noWrap/>
            <w:vAlign w:val="center"/>
            <w:hideMark/>
          </w:tcPr>
          <w:p w14:paraId="09D14DAB"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3D9D4807"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805" w:type="pct"/>
            <w:tcBorders>
              <w:top w:val="nil"/>
              <w:left w:val="nil"/>
              <w:bottom w:val="single" w:sz="4" w:space="0" w:color="auto"/>
              <w:right w:val="single" w:sz="4" w:space="0" w:color="auto"/>
            </w:tcBorders>
            <w:noWrap/>
            <w:vAlign w:val="center"/>
            <w:hideMark/>
          </w:tcPr>
          <w:p w14:paraId="55E1032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34426AAC"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401" w:type="pct"/>
            <w:tcBorders>
              <w:top w:val="nil"/>
              <w:left w:val="nil"/>
              <w:bottom w:val="single" w:sz="4" w:space="0" w:color="auto"/>
              <w:right w:val="single" w:sz="4" w:space="0" w:color="auto"/>
            </w:tcBorders>
            <w:noWrap/>
            <w:vAlign w:val="center"/>
            <w:hideMark/>
          </w:tcPr>
          <w:p w14:paraId="73032638"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44A30183"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14DC498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PAS</w:t>
            </w:r>
          </w:p>
        </w:tc>
        <w:tc>
          <w:tcPr>
            <w:tcW w:w="617" w:type="pct"/>
            <w:tcBorders>
              <w:top w:val="nil"/>
              <w:left w:val="nil"/>
              <w:bottom w:val="single" w:sz="4" w:space="0" w:color="auto"/>
              <w:right w:val="single" w:sz="4" w:space="0" w:color="auto"/>
            </w:tcBorders>
            <w:noWrap/>
            <w:vAlign w:val="center"/>
            <w:hideMark/>
          </w:tcPr>
          <w:p w14:paraId="61FCC981"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Konventionell färgning</w:t>
            </w:r>
          </w:p>
        </w:tc>
        <w:tc>
          <w:tcPr>
            <w:tcW w:w="1311" w:type="pct"/>
            <w:tcBorders>
              <w:top w:val="nil"/>
              <w:left w:val="nil"/>
              <w:bottom w:val="single" w:sz="4" w:space="0" w:color="auto"/>
              <w:right w:val="single" w:sz="4" w:space="0" w:color="auto"/>
            </w:tcBorders>
            <w:noWrap/>
            <w:vAlign w:val="center"/>
            <w:hideMark/>
          </w:tcPr>
          <w:p w14:paraId="39CB4C6E"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Svamp (vissa bakterier)</w:t>
            </w:r>
          </w:p>
        </w:tc>
        <w:tc>
          <w:tcPr>
            <w:tcW w:w="646" w:type="pct"/>
            <w:tcBorders>
              <w:top w:val="nil"/>
              <w:left w:val="nil"/>
              <w:bottom w:val="single" w:sz="4" w:space="0" w:color="auto"/>
              <w:right w:val="single" w:sz="4" w:space="0" w:color="auto"/>
            </w:tcBorders>
            <w:noWrap/>
            <w:vAlign w:val="center"/>
            <w:hideMark/>
          </w:tcPr>
          <w:p w14:paraId="473FE763"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805" w:type="pct"/>
            <w:tcBorders>
              <w:top w:val="nil"/>
              <w:left w:val="nil"/>
              <w:bottom w:val="single" w:sz="4" w:space="0" w:color="auto"/>
              <w:right w:val="single" w:sz="4" w:space="0" w:color="auto"/>
            </w:tcBorders>
            <w:noWrap/>
            <w:vAlign w:val="center"/>
            <w:hideMark/>
          </w:tcPr>
          <w:p w14:paraId="799C891E"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547" w:type="pct"/>
            <w:tcBorders>
              <w:top w:val="nil"/>
              <w:left w:val="nil"/>
              <w:bottom w:val="single" w:sz="4" w:space="0" w:color="auto"/>
              <w:right w:val="single" w:sz="4" w:space="0" w:color="auto"/>
            </w:tcBorders>
            <w:noWrap/>
            <w:vAlign w:val="center"/>
            <w:hideMark/>
          </w:tcPr>
          <w:p w14:paraId="05454108"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4CDC909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r>
      <w:tr w:rsidR="00A076B3" w:rsidRPr="00A076B3" w14:paraId="407E497F"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3C7DDB9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Gomori/Grocott</w:t>
            </w:r>
          </w:p>
        </w:tc>
        <w:tc>
          <w:tcPr>
            <w:tcW w:w="617" w:type="pct"/>
            <w:tcBorders>
              <w:top w:val="nil"/>
              <w:left w:val="nil"/>
              <w:bottom w:val="single" w:sz="4" w:space="0" w:color="auto"/>
              <w:right w:val="single" w:sz="4" w:space="0" w:color="auto"/>
            </w:tcBorders>
            <w:noWrap/>
            <w:vAlign w:val="center"/>
            <w:hideMark/>
          </w:tcPr>
          <w:p w14:paraId="435D803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Konventionell färgning</w:t>
            </w:r>
          </w:p>
        </w:tc>
        <w:tc>
          <w:tcPr>
            <w:tcW w:w="1311" w:type="pct"/>
            <w:tcBorders>
              <w:top w:val="nil"/>
              <w:left w:val="nil"/>
              <w:bottom w:val="single" w:sz="4" w:space="0" w:color="auto"/>
              <w:right w:val="single" w:sz="4" w:space="0" w:color="auto"/>
            </w:tcBorders>
            <w:noWrap/>
            <w:vAlign w:val="center"/>
            <w:hideMark/>
          </w:tcPr>
          <w:p w14:paraId="750C10A5"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Svamp (vissa bakterier)</w:t>
            </w:r>
          </w:p>
        </w:tc>
        <w:tc>
          <w:tcPr>
            <w:tcW w:w="646" w:type="pct"/>
            <w:tcBorders>
              <w:top w:val="nil"/>
              <w:left w:val="nil"/>
              <w:bottom w:val="single" w:sz="4" w:space="0" w:color="auto"/>
              <w:right w:val="single" w:sz="4" w:space="0" w:color="auto"/>
            </w:tcBorders>
            <w:noWrap/>
            <w:vAlign w:val="center"/>
            <w:hideMark/>
          </w:tcPr>
          <w:p w14:paraId="6AE78E43"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805" w:type="pct"/>
            <w:tcBorders>
              <w:top w:val="nil"/>
              <w:left w:val="nil"/>
              <w:bottom w:val="single" w:sz="4" w:space="0" w:color="auto"/>
              <w:right w:val="single" w:sz="4" w:space="0" w:color="auto"/>
            </w:tcBorders>
            <w:noWrap/>
            <w:vAlign w:val="center"/>
            <w:hideMark/>
          </w:tcPr>
          <w:p w14:paraId="50499826"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325ED4BB"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7B13C52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r>
      <w:tr w:rsidR="00A076B3" w:rsidRPr="00A076B3" w14:paraId="4AFA1AD6"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47D66421"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Gram</w:t>
            </w:r>
          </w:p>
        </w:tc>
        <w:tc>
          <w:tcPr>
            <w:tcW w:w="617" w:type="pct"/>
            <w:tcBorders>
              <w:top w:val="nil"/>
              <w:left w:val="nil"/>
              <w:bottom w:val="single" w:sz="4" w:space="0" w:color="auto"/>
              <w:right w:val="single" w:sz="4" w:space="0" w:color="auto"/>
            </w:tcBorders>
            <w:noWrap/>
            <w:vAlign w:val="center"/>
            <w:hideMark/>
          </w:tcPr>
          <w:p w14:paraId="06CC1B6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Konventionell färgning</w:t>
            </w:r>
          </w:p>
        </w:tc>
        <w:tc>
          <w:tcPr>
            <w:tcW w:w="1311" w:type="pct"/>
            <w:tcBorders>
              <w:top w:val="nil"/>
              <w:left w:val="nil"/>
              <w:bottom w:val="single" w:sz="4" w:space="0" w:color="auto"/>
              <w:right w:val="single" w:sz="4" w:space="0" w:color="auto"/>
            </w:tcBorders>
            <w:noWrap/>
            <w:vAlign w:val="center"/>
            <w:hideMark/>
          </w:tcPr>
          <w:p w14:paraId="5F444151"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Bakterier</w:t>
            </w:r>
          </w:p>
        </w:tc>
        <w:tc>
          <w:tcPr>
            <w:tcW w:w="646" w:type="pct"/>
            <w:tcBorders>
              <w:top w:val="nil"/>
              <w:left w:val="nil"/>
              <w:bottom w:val="single" w:sz="4" w:space="0" w:color="auto"/>
              <w:right w:val="single" w:sz="4" w:space="0" w:color="auto"/>
            </w:tcBorders>
            <w:noWrap/>
            <w:vAlign w:val="center"/>
            <w:hideMark/>
          </w:tcPr>
          <w:p w14:paraId="588AA6C7"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 (men inte så bra kvalitet)</w:t>
            </w:r>
          </w:p>
        </w:tc>
        <w:tc>
          <w:tcPr>
            <w:tcW w:w="805" w:type="pct"/>
            <w:tcBorders>
              <w:top w:val="nil"/>
              <w:left w:val="nil"/>
              <w:bottom w:val="single" w:sz="4" w:space="0" w:color="auto"/>
              <w:right w:val="single" w:sz="4" w:space="0" w:color="auto"/>
            </w:tcBorders>
            <w:noWrap/>
            <w:vAlign w:val="center"/>
            <w:hideMark/>
          </w:tcPr>
          <w:p w14:paraId="5A2CFEC7"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0B36F40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563BB0CA"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r>
      <w:tr w:rsidR="00A076B3" w:rsidRPr="00A076B3" w14:paraId="043691F0"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77E45B55"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Ziehl-Neelsen</w:t>
            </w:r>
          </w:p>
        </w:tc>
        <w:tc>
          <w:tcPr>
            <w:tcW w:w="617" w:type="pct"/>
            <w:tcBorders>
              <w:top w:val="nil"/>
              <w:left w:val="nil"/>
              <w:bottom w:val="single" w:sz="4" w:space="0" w:color="auto"/>
              <w:right w:val="single" w:sz="4" w:space="0" w:color="auto"/>
            </w:tcBorders>
            <w:noWrap/>
            <w:vAlign w:val="center"/>
            <w:hideMark/>
          </w:tcPr>
          <w:p w14:paraId="0E90B2AF"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Konventionell färgning</w:t>
            </w:r>
          </w:p>
        </w:tc>
        <w:tc>
          <w:tcPr>
            <w:tcW w:w="1311" w:type="pct"/>
            <w:tcBorders>
              <w:top w:val="nil"/>
              <w:left w:val="nil"/>
              <w:bottom w:val="single" w:sz="4" w:space="0" w:color="auto"/>
              <w:right w:val="single" w:sz="4" w:space="0" w:color="auto"/>
            </w:tcBorders>
            <w:noWrap/>
            <w:vAlign w:val="center"/>
            <w:hideMark/>
          </w:tcPr>
          <w:p w14:paraId="60239F2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Mykobakterier</w:t>
            </w:r>
          </w:p>
        </w:tc>
        <w:tc>
          <w:tcPr>
            <w:tcW w:w="646" w:type="pct"/>
            <w:tcBorders>
              <w:top w:val="nil"/>
              <w:left w:val="nil"/>
              <w:bottom w:val="single" w:sz="4" w:space="0" w:color="auto"/>
              <w:right w:val="single" w:sz="4" w:space="0" w:color="auto"/>
            </w:tcBorders>
            <w:noWrap/>
            <w:vAlign w:val="center"/>
            <w:hideMark/>
          </w:tcPr>
          <w:p w14:paraId="519D116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805" w:type="pct"/>
            <w:tcBorders>
              <w:top w:val="nil"/>
              <w:left w:val="nil"/>
              <w:bottom w:val="single" w:sz="4" w:space="0" w:color="auto"/>
              <w:right w:val="single" w:sz="4" w:space="0" w:color="auto"/>
            </w:tcBorders>
            <w:noWrap/>
            <w:vAlign w:val="center"/>
            <w:hideMark/>
          </w:tcPr>
          <w:p w14:paraId="11B26B47"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547" w:type="pct"/>
            <w:tcBorders>
              <w:top w:val="nil"/>
              <w:left w:val="nil"/>
              <w:bottom w:val="single" w:sz="4" w:space="0" w:color="auto"/>
              <w:right w:val="single" w:sz="4" w:space="0" w:color="auto"/>
            </w:tcBorders>
            <w:noWrap/>
            <w:vAlign w:val="center"/>
            <w:hideMark/>
          </w:tcPr>
          <w:p w14:paraId="04CA2CC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5B23B72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 (Hallberg)</w:t>
            </w:r>
          </w:p>
        </w:tc>
      </w:tr>
      <w:tr w:rsidR="00A076B3" w:rsidRPr="00A076B3" w14:paraId="6536BBB9"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3C89693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Fite</w:t>
            </w:r>
          </w:p>
        </w:tc>
        <w:tc>
          <w:tcPr>
            <w:tcW w:w="617" w:type="pct"/>
            <w:tcBorders>
              <w:top w:val="nil"/>
              <w:left w:val="nil"/>
              <w:bottom w:val="single" w:sz="4" w:space="0" w:color="auto"/>
              <w:right w:val="single" w:sz="4" w:space="0" w:color="auto"/>
            </w:tcBorders>
            <w:noWrap/>
            <w:vAlign w:val="center"/>
            <w:hideMark/>
          </w:tcPr>
          <w:p w14:paraId="7E95882A"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Konventionell färgning</w:t>
            </w:r>
          </w:p>
        </w:tc>
        <w:tc>
          <w:tcPr>
            <w:tcW w:w="1311" w:type="pct"/>
            <w:tcBorders>
              <w:top w:val="nil"/>
              <w:left w:val="nil"/>
              <w:bottom w:val="single" w:sz="4" w:space="0" w:color="auto"/>
              <w:right w:val="single" w:sz="4" w:space="0" w:color="auto"/>
            </w:tcBorders>
            <w:noWrap/>
            <w:vAlign w:val="center"/>
            <w:hideMark/>
          </w:tcPr>
          <w:p w14:paraId="4995ADC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Lepra, Nocardia</w:t>
            </w:r>
          </w:p>
        </w:tc>
        <w:tc>
          <w:tcPr>
            <w:tcW w:w="646" w:type="pct"/>
            <w:tcBorders>
              <w:top w:val="nil"/>
              <w:left w:val="nil"/>
              <w:bottom w:val="single" w:sz="4" w:space="0" w:color="auto"/>
              <w:right w:val="single" w:sz="4" w:space="0" w:color="auto"/>
            </w:tcBorders>
            <w:noWrap/>
            <w:vAlign w:val="center"/>
            <w:hideMark/>
          </w:tcPr>
          <w:p w14:paraId="0E38117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805" w:type="pct"/>
            <w:tcBorders>
              <w:top w:val="nil"/>
              <w:left w:val="nil"/>
              <w:bottom w:val="single" w:sz="4" w:space="0" w:color="auto"/>
              <w:right w:val="single" w:sz="4" w:space="0" w:color="auto"/>
            </w:tcBorders>
            <w:noWrap/>
            <w:vAlign w:val="center"/>
            <w:hideMark/>
          </w:tcPr>
          <w:p w14:paraId="180202B5"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202E8763"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340CAC3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1E991D35"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7FCCA5EF"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Warthin-Starry</w:t>
            </w:r>
          </w:p>
        </w:tc>
        <w:tc>
          <w:tcPr>
            <w:tcW w:w="617" w:type="pct"/>
            <w:tcBorders>
              <w:top w:val="nil"/>
              <w:left w:val="nil"/>
              <w:bottom w:val="single" w:sz="4" w:space="0" w:color="auto"/>
              <w:right w:val="single" w:sz="4" w:space="0" w:color="auto"/>
            </w:tcBorders>
            <w:noWrap/>
            <w:vAlign w:val="center"/>
            <w:hideMark/>
          </w:tcPr>
          <w:p w14:paraId="6906BA15"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Konventionell färgning</w:t>
            </w:r>
          </w:p>
        </w:tc>
        <w:tc>
          <w:tcPr>
            <w:tcW w:w="1311" w:type="pct"/>
            <w:tcBorders>
              <w:top w:val="nil"/>
              <w:left w:val="nil"/>
              <w:bottom w:val="single" w:sz="4" w:space="0" w:color="auto"/>
              <w:right w:val="single" w:sz="4" w:space="0" w:color="auto"/>
            </w:tcBorders>
            <w:noWrap/>
            <w:vAlign w:val="center"/>
            <w:hideMark/>
          </w:tcPr>
          <w:p w14:paraId="421DA60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Helicobacter, spirocheter (borrelia, syfilis mm), Bartonella</w:t>
            </w:r>
          </w:p>
        </w:tc>
        <w:tc>
          <w:tcPr>
            <w:tcW w:w="646" w:type="pct"/>
            <w:tcBorders>
              <w:top w:val="nil"/>
              <w:left w:val="nil"/>
              <w:bottom w:val="single" w:sz="4" w:space="0" w:color="auto"/>
              <w:right w:val="single" w:sz="4" w:space="0" w:color="auto"/>
            </w:tcBorders>
            <w:noWrap/>
            <w:vAlign w:val="center"/>
            <w:hideMark/>
          </w:tcPr>
          <w:p w14:paraId="067616D6"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805" w:type="pct"/>
            <w:tcBorders>
              <w:top w:val="nil"/>
              <w:left w:val="nil"/>
              <w:bottom w:val="single" w:sz="4" w:space="0" w:color="auto"/>
              <w:right w:val="single" w:sz="4" w:space="0" w:color="auto"/>
            </w:tcBorders>
            <w:noWrap/>
            <w:vAlign w:val="center"/>
            <w:hideMark/>
          </w:tcPr>
          <w:p w14:paraId="7B56B22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47FCAA8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4325DCEC"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76A0DF0E"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73023B1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Giemsa</w:t>
            </w:r>
          </w:p>
        </w:tc>
        <w:tc>
          <w:tcPr>
            <w:tcW w:w="617" w:type="pct"/>
            <w:tcBorders>
              <w:top w:val="nil"/>
              <w:left w:val="nil"/>
              <w:bottom w:val="single" w:sz="4" w:space="0" w:color="auto"/>
              <w:right w:val="single" w:sz="4" w:space="0" w:color="auto"/>
            </w:tcBorders>
            <w:noWrap/>
            <w:vAlign w:val="center"/>
            <w:hideMark/>
          </w:tcPr>
          <w:p w14:paraId="37A0D996"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Konventionell färgning</w:t>
            </w:r>
          </w:p>
        </w:tc>
        <w:tc>
          <w:tcPr>
            <w:tcW w:w="1311" w:type="pct"/>
            <w:tcBorders>
              <w:top w:val="nil"/>
              <w:left w:val="nil"/>
              <w:bottom w:val="single" w:sz="4" w:space="0" w:color="auto"/>
              <w:right w:val="single" w:sz="4" w:space="0" w:color="auto"/>
            </w:tcBorders>
            <w:noWrap/>
            <w:vAlign w:val="center"/>
            <w:hideMark/>
          </w:tcPr>
          <w:p w14:paraId="30C8243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xml:space="preserve">Leishmania, Malaria, Babesia </w:t>
            </w:r>
          </w:p>
        </w:tc>
        <w:tc>
          <w:tcPr>
            <w:tcW w:w="646" w:type="pct"/>
            <w:tcBorders>
              <w:top w:val="nil"/>
              <w:left w:val="nil"/>
              <w:bottom w:val="single" w:sz="4" w:space="0" w:color="auto"/>
              <w:right w:val="single" w:sz="4" w:space="0" w:color="auto"/>
            </w:tcBorders>
            <w:noWrap/>
            <w:vAlign w:val="center"/>
            <w:hideMark/>
          </w:tcPr>
          <w:p w14:paraId="0922FC5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805" w:type="pct"/>
            <w:tcBorders>
              <w:top w:val="nil"/>
              <w:left w:val="nil"/>
              <w:bottom w:val="single" w:sz="4" w:space="0" w:color="auto"/>
              <w:right w:val="single" w:sz="4" w:space="0" w:color="auto"/>
            </w:tcBorders>
            <w:noWrap/>
            <w:vAlign w:val="center"/>
            <w:hideMark/>
          </w:tcPr>
          <w:p w14:paraId="1E37A10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547" w:type="pct"/>
            <w:tcBorders>
              <w:top w:val="nil"/>
              <w:left w:val="nil"/>
              <w:bottom w:val="single" w:sz="4" w:space="0" w:color="auto"/>
              <w:right w:val="single" w:sz="4" w:space="0" w:color="auto"/>
            </w:tcBorders>
            <w:noWrap/>
            <w:vAlign w:val="center"/>
            <w:hideMark/>
          </w:tcPr>
          <w:p w14:paraId="572A247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06C60B01"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r>
      <w:tr w:rsidR="00A076B3" w:rsidRPr="00A076B3" w14:paraId="69A7A0CB"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149A170C"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17" w:type="pct"/>
            <w:tcBorders>
              <w:top w:val="nil"/>
              <w:left w:val="nil"/>
              <w:bottom w:val="single" w:sz="4" w:space="0" w:color="auto"/>
              <w:right w:val="single" w:sz="4" w:space="0" w:color="auto"/>
            </w:tcBorders>
            <w:noWrap/>
            <w:vAlign w:val="center"/>
            <w:hideMark/>
          </w:tcPr>
          <w:p w14:paraId="7672DDAE"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1311" w:type="pct"/>
            <w:tcBorders>
              <w:top w:val="nil"/>
              <w:left w:val="nil"/>
              <w:bottom w:val="single" w:sz="4" w:space="0" w:color="auto"/>
              <w:right w:val="single" w:sz="4" w:space="0" w:color="auto"/>
            </w:tcBorders>
            <w:noWrap/>
            <w:vAlign w:val="center"/>
            <w:hideMark/>
          </w:tcPr>
          <w:p w14:paraId="2FAF508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73B014B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805" w:type="pct"/>
            <w:tcBorders>
              <w:top w:val="nil"/>
              <w:left w:val="nil"/>
              <w:bottom w:val="single" w:sz="4" w:space="0" w:color="auto"/>
              <w:right w:val="single" w:sz="4" w:space="0" w:color="auto"/>
            </w:tcBorders>
            <w:noWrap/>
            <w:vAlign w:val="center"/>
            <w:hideMark/>
          </w:tcPr>
          <w:p w14:paraId="4518997C"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5BC5099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401" w:type="pct"/>
            <w:tcBorders>
              <w:top w:val="nil"/>
              <w:left w:val="nil"/>
              <w:bottom w:val="single" w:sz="4" w:space="0" w:color="auto"/>
              <w:right w:val="single" w:sz="4" w:space="0" w:color="auto"/>
            </w:tcBorders>
            <w:noWrap/>
            <w:vAlign w:val="center"/>
            <w:hideMark/>
          </w:tcPr>
          <w:p w14:paraId="310D634F"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476A7726"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5ED07671"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Mycobacterium</w:t>
            </w:r>
          </w:p>
        </w:tc>
        <w:tc>
          <w:tcPr>
            <w:tcW w:w="617" w:type="pct"/>
            <w:tcBorders>
              <w:top w:val="nil"/>
              <w:left w:val="nil"/>
              <w:bottom w:val="single" w:sz="4" w:space="0" w:color="auto"/>
              <w:right w:val="single" w:sz="4" w:space="0" w:color="auto"/>
            </w:tcBorders>
            <w:noWrap/>
            <w:vAlign w:val="center"/>
            <w:hideMark/>
          </w:tcPr>
          <w:p w14:paraId="7E5CC01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Immunfärgning</w:t>
            </w:r>
          </w:p>
        </w:tc>
        <w:tc>
          <w:tcPr>
            <w:tcW w:w="1311" w:type="pct"/>
            <w:tcBorders>
              <w:top w:val="nil"/>
              <w:left w:val="nil"/>
              <w:bottom w:val="single" w:sz="4" w:space="0" w:color="auto"/>
              <w:right w:val="single" w:sz="4" w:space="0" w:color="auto"/>
            </w:tcBorders>
            <w:noWrap/>
            <w:vAlign w:val="center"/>
            <w:hideMark/>
          </w:tcPr>
          <w:p w14:paraId="47411F0C"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2850E54E"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805" w:type="pct"/>
            <w:tcBorders>
              <w:top w:val="nil"/>
              <w:left w:val="nil"/>
              <w:bottom w:val="single" w:sz="4" w:space="0" w:color="auto"/>
              <w:right w:val="single" w:sz="4" w:space="0" w:color="auto"/>
            </w:tcBorders>
            <w:noWrap/>
            <w:vAlign w:val="center"/>
            <w:hideMark/>
          </w:tcPr>
          <w:p w14:paraId="4279A1E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 (Biocare medical, polyclonal)</w:t>
            </w:r>
          </w:p>
        </w:tc>
        <w:tc>
          <w:tcPr>
            <w:tcW w:w="547" w:type="pct"/>
            <w:tcBorders>
              <w:top w:val="nil"/>
              <w:left w:val="nil"/>
              <w:bottom w:val="single" w:sz="4" w:space="0" w:color="auto"/>
              <w:right w:val="single" w:sz="4" w:space="0" w:color="auto"/>
            </w:tcBorders>
            <w:noWrap/>
            <w:vAlign w:val="center"/>
            <w:hideMark/>
          </w:tcPr>
          <w:p w14:paraId="4F45CA9A"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437A570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5BE21BEF"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5A69B615"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CMV</w:t>
            </w:r>
          </w:p>
        </w:tc>
        <w:tc>
          <w:tcPr>
            <w:tcW w:w="617" w:type="pct"/>
            <w:tcBorders>
              <w:top w:val="nil"/>
              <w:left w:val="nil"/>
              <w:bottom w:val="single" w:sz="4" w:space="0" w:color="auto"/>
              <w:right w:val="single" w:sz="4" w:space="0" w:color="auto"/>
            </w:tcBorders>
            <w:noWrap/>
            <w:vAlign w:val="center"/>
            <w:hideMark/>
          </w:tcPr>
          <w:p w14:paraId="247B363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Immunfärgning</w:t>
            </w:r>
          </w:p>
        </w:tc>
        <w:tc>
          <w:tcPr>
            <w:tcW w:w="1311" w:type="pct"/>
            <w:tcBorders>
              <w:top w:val="nil"/>
              <w:left w:val="nil"/>
              <w:bottom w:val="single" w:sz="4" w:space="0" w:color="auto"/>
              <w:right w:val="single" w:sz="4" w:space="0" w:color="auto"/>
            </w:tcBorders>
            <w:noWrap/>
            <w:vAlign w:val="center"/>
            <w:hideMark/>
          </w:tcPr>
          <w:p w14:paraId="25DAEB97"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5A8CC803"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805" w:type="pct"/>
            <w:tcBorders>
              <w:top w:val="nil"/>
              <w:left w:val="nil"/>
              <w:bottom w:val="single" w:sz="4" w:space="0" w:color="auto"/>
              <w:right w:val="single" w:sz="4" w:space="0" w:color="auto"/>
            </w:tcBorders>
            <w:noWrap/>
            <w:vAlign w:val="center"/>
            <w:hideMark/>
          </w:tcPr>
          <w:p w14:paraId="65E1F1DB"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547" w:type="pct"/>
            <w:tcBorders>
              <w:top w:val="nil"/>
              <w:left w:val="nil"/>
              <w:bottom w:val="single" w:sz="4" w:space="0" w:color="auto"/>
              <w:right w:val="single" w:sz="4" w:space="0" w:color="auto"/>
            </w:tcBorders>
            <w:noWrap/>
            <w:vAlign w:val="center"/>
            <w:hideMark/>
          </w:tcPr>
          <w:p w14:paraId="2808457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401" w:type="pct"/>
            <w:tcBorders>
              <w:top w:val="nil"/>
              <w:left w:val="nil"/>
              <w:bottom w:val="single" w:sz="4" w:space="0" w:color="auto"/>
              <w:right w:val="single" w:sz="4" w:space="0" w:color="auto"/>
            </w:tcBorders>
            <w:noWrap/>
            <w:vAlign w:val="center"/>
            <w:hideMark/>
          </w:tcPr>
          <w:p w14:paraId="605C9C3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r>
      <w:tr w:rsidR="00A076B3" w:rsidRPr="00A076B3" w14:paraId="7D8E9185"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0C5688E1"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Helicobacter</w:t>
            </w:r>
          </w:p>
        </w:tc>
        <w:tc>
          <w:tcPr>
            <w:tcW w:w="617" w:type="pct"/>
            <w:tcBorders>
              <w:top w:val="nil"/>
              <w:left w:val="nil"/>
              <w:bottom w:val="single" w:sz="4" w:space="0" w:color="auto"/>
              <w:right w:val="single" w:sz="4" w:space="0" w:color="auto"/>
            </w:tcBorders>
            <w:noWrap/>
            <w:vAlign w:val="center"/>
            <w:hideMark/>
          </w:tcPr>
          <w:p w14:paraId="6ECDC62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Immunfärgning</w:t>
            </w:r>
          </w:p>
        </w:tc>
        <w:tc>
          <w:tcPr>
            <w:tcW w:w="1311" w:type="pct"/>
            <w:tcBorders>
              <w:top w:val="nil"/>
              <w:left w:val="nil"/>
              <w:bottom w:val="single" w:sz="4" w:space="0" w:color="auto"/>
              <w:right w:val="single" w:sz="4" w:space="0" w:color="auto"/>
            </w:tcBorders>
            <w:noWrap/>
            <w:vAlign w:val="center"/>
            <w:hideMark/>
          </w:tcPr>
          <w:p w14:paraId="67388D27"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7F8C051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805" w:type="pct"/>
            <w:tcBorders>
              <w:top w:val="nil"/>
              <w:left w:val="nil"/>
              <w:bottom w:val="single" w:sz="4" w:space="0" w:color="auto"/>
              <w:right w:val="single" w:sz="4" w:space="0" w:color="auto"/>
            </w:tcBorders>
            <w:noWrap/>
            <w:vAlign w:val="center"/>
            <w:hideMark/>
          </w:tcPr>
          <w:p w14:paraId="39ABD065"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0F667D8C"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69EB28F1"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r>
      <w:tr w:rsidR="00A076B3" w:rsidRPr="00A076B3" w14:paraId="1106CDAC"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617191B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Toxoplasma</w:t>
            </w:r>
          </w:p>
        </w:tc>
        <w:tc>
          <w:tcPr>
            <w:tcW w:w="617" w:type="pct"/>
            <w:tcBorders>
              <w:top w:val="nil"/>
              <w:left w:val="nil"/>
              <w:bottom w:val="single" w:sz="4" w:space="0" w:color="auto"/>
              <w:right w:val="single" w:sz="4" w:space="0" w:color="auto"/>
            </w:tcBorders>
            <w:noWrap/>
            <w:vAlign w:val="center"/>
            <w:hideMark/>
          </w:tcPr>
          <w:p w14:paraId="5CEF7FEE"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Immunfärgning</w:t>
            </w:r>
          </w:p>
        </w:tc>
        <w:tc>
          <w:tcPr>
            <w:tcW w:w="1311" w:type="pct"/>
            <w:tcBorders>
              <w:top w:val="nil"/>
              <w:left w:val="nil"/>
              <w:bottom w:val="single" w:sz="4" w:space="0" w:color="auto"/>
              <w:right w:val="single" w:sz="4" w:space="0" w:color="auto"/>
            </w:tcBorders>
            <w:noWrap/>
            <w:vAlign w:val="center"/>
            <w:hideMark/>
          </w:tcPr>
          <w:p w14:paraId="6B0BA99F"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397722A3"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805" w:type="pct"/>
            <w:tcBorders>
              <w:top w:val="nil"/>
              <w:left w:val="nil"/>
              <w:bottom w:val="single" w:sz="4" w:space="0" w:color="auto"/>
              <w:right w:val="single" w:sz="4" w:space="0" w:color="auto"/>
            </w:tcBorders>
            <w:noWrap/>
            <w:vAlign w:val="center"/>
            <w:hideMark/>
          </w:tcPr>
          <w:p w14:paraId="2A789405"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6ED33E4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39085DE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164D64F8"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4D0CEACB"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Treponema/spiroketer</w:t>
            </w:r>
          </w:p>
        </w:tc>
        <w:tc>
          <w:tcPr>
            <w:tcW w:w="617" w:type="pct"/>
            <w:tcBorders>
              <w:top w:val="nil"/>
              <w:left w:val="nil"/>
              <w:bottom w:val="single" w:sz="4" w:space="0" w:color="auto"/>
              <w:right w:val="single" w:sz="4" w:space="0" w:color="auto"/>
            </w:tcBorders>
            <w:noWrap/>
            <w:vAlign w:val="center"/>
            <w:hideMark/>
          </w:tcPr>
          <w:p w14:paraId="0398472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Immunfärgning</w:t>
            </w:r>
          </w:p>
        </w:tc>
        <w:tc>
          <w:tcPr>
            <w:tcW w:w="1311" w:type="pct"/>
            <w:tcBorders>
              <w:top w:val="nil"/>
              <w:left w:val="nil"/>
              <w:bottom w:val="single" w:sz="4" w:space="0" w:color="auto"/>
              <w:right w:val="single" w:sz="4" w:space="0" w:color="auto"/>
            </w:tcBorders>
            <w:noWrap/>
            <w:vAlign w:val="center"/>
            <w:hideMark/>
          </w:tcPr>
          <w:p w14:paraId="03EDD7F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Syfilis (Treponema pallidum)</w:t>
            </w:r>
          </w:p>
        </w:tc>
        <w:tc>
          <w:tcPr>
            <w:tcW w:w="646" w:type="pct"/>
            <w:tcBorders>
              <w:top w:val="nil"/>
              <w:left w:val="nil"/>
              <w:bottom w:val="single" w:sz="4" w:space="0" w:color="auto"/>
              <w:right w:val="single" w:sz="4" w:space="0" w:color="auto"/>
            </w:tcBorders>
            <w:noWrap/>
            <w:vAlign w:val="center"/>
            <w:hideMark/>
          </w:tcPr>
          <w:p w14:paraId="5682044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805" w:type="pct"/>
            <w:tcBorders>
              <w:top w:val="nil"/>
              <w:left w:val="nil"/>
              <w:bottom w:val="single" w:sz="4" w:space="0" w:color="auto"/>
              <w:right w:val="single" w:sz="4" w:space="0" w:color="auto"/>
            </w:tcBorders>
            <w:noWrap/>
            <w:vAlign w:val="center"/>
            <w:hideMark/>
          </w:tcPr>
          <w:p w14:paraId="54EBF05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7A6F0DF1"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1176D17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16BD132A"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3227492C"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SV40</w:t>
            </w:r>
          </w:p>
        </w:tc>
        <w:tc>
          <w:tcPr>
            <w:tcW w:w="617" w:type="pct"/>
            <w:tcBorders>
              <w:top w:val="nil"/>
              <w:left w:val="nil"/>
              <w:bottom w:val="single" w:sz="4" w:space="0" w:color="auto"/>
              <w:right w:val="single" w:sz="4" w:space="0" w:color="auto"/>
            </w:tcBorders>
            <w:noWrap/>
            <w:vAlign w:val="center"/>
            <w:hideMark/>
          </w:tcPr>
          <w:p w14:paraId="282EF6FA"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Immunfärgning</w:t>
            </w:r>
          </w:p>
        </w:tc>
        <w:tc>
          <w:tcPr>
            <w:tcW w:w="1311" w:type="pct"/>
            <w:tcBorders>
              <w:top w:val="nil"/>
              <w:left w:val="nil"/>
              <w:bottom w:val="single" w:sz="4" w:space="0" w:color="auto"/>
              <w:right w:val="single" w:sz="4" w:space="0" w:color="auto"/>
            </w:tcBorders>
            <w:noWrap/>
            <w:vAlign w:val="center"/>
            <w:hideMark/>
          </w:tcPr>
          <w:p w14:paraId="2CC58E11"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SV40/BK/JC virus</w:t>
            </w:r>
          </w:p>
        </w:tc>
        <w:tc>
          <w:tcPr>
            <w:tcW w:w="646" w:type="pct"/>
            <w:tcBorders>
              <w:top w:val="nil"/>
              <w:left w:val="nil"/>
              <w:bottom w:val="single" w:sz="4" w:space="0" w:color="auto"/>
              <w:right w:val="single" w:sz="4" w:space="0" w:color="auto"/>
            </w:tcBorders>
            <w:noWrap/>
            <w:vAlign w:val="center"/>
            <w:hideMark/>
          </w:tcPr>
          <w:p w14:paraId="31E7F353"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805" w:type="pct"/>
            <w:tcBorders>
              <w:top w:val="nil"/>
              <w:left w:val="nil"/>
              <w:bottom w:val="single" w:sz="4" w:space="0" w:color="auto"/>
              <w:right w:val="single" w:sz="4" w:space="0" w:color="auto"/>
            </w:tcBorders>
            <w:noWrap/>
            <w:vAlign w:val="center"/>
            <w:hideMark/>
          </w:tcPr>
          <w:p w14:paraId="2A6E8621"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6D1C64B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754FF028"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3421A5CB"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6E94E3A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J2</w:t>
            </w:r>
          </w:p>
        </w:tc>
        <w:tc>
          <w:tcPr>
            <w:tcW w:w="617" w:type="pct"/>
            <w:tcBorders>
              <w:top w:val="nil"/>
              <w:left w:val="nil"/>
              <w:bottom w:val="single" w:sz="4" w:space="0" w:color="auto"/>
              <w:right w:val="single" w:sz="4" w:space="0" w:color="auto"/>
            </w:tcBorders>
            <w:noWrap/>
            <w:vAlign w:val="center"/>
            <w:hideMark/>
          </w:tcPr>
          <w:p w14:paraId="60EDB297"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Immunfärgning</w:t>
            </w:r>
          </w:p>
        </w:tc>
        <w:tc>
          <w:tcPr>
            <w:tcW w:w="1311" w:type="pct"/>
            <w:tcBorders>
              <w:top w:val="nil"/>
              <w:left w:val="nil"/>
              <w:bottom w:val="single" w:sz="4" w:space="0" w:color="auto"/>
              <w:right w:val="single" w:sz="4" w:space="0" w:color="auto"/>
            </w:tcBorders>
            <w:noWrap/>
            <w:vAlign w:val="center"/>
            <w:hideMark/>
          </w:tcPr>
          <w:p w14:paraId="19E924B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dsRNA virus (HCV, rhino, Dengue, polio mm)</w:t>
            </w:r>
          </w:p>
        </w:tc>
        <w:tc>
          <w:tcPr>
            <w:tcW w:w="646" w:type="pct"/>
            <w:tcBorders>
              <w:top w:val="nil"/>
              <w:left w:val="nil"/>
              <w:bottom w:val="single" w:sz="4" w:space="0" w:color="auto"/>
              <w:right w:val="single" w:sz="4" w:space="0" w:color="auto"/>
            </w:tcBorders>
            <w:noWrap/>
            <w:vAlign w:val="center"/>
            <w:hideMark/>
          </w:tcPr>
          <w:p w14:paraId="20319257"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nej, inom forskning endast</w:t>
            </w:r>
          </w:p>
        </w:tc>
        <w:tc>
          <w:tcPr>
            <w:tcW w:w="805" w:type="pct"/>
            <w:tcBorders>
              <w:top w:val="nil"/>
              <w:left w:val="nil"/>
              <w:bottom w:val="single" w:sz="4" w:space="0" w:color="auto"/>
              <w:right w:val="single" w:sz="4" w:space="0" w:color="auto"/>
            </w:tcBorders>
            <w:noWrap/>
            <w:vAlign w:val="center"/>
            <w:hideMark/>
          </w:tcPr>
          <w:p w14:paraId="28C7C6A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131C031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401" w:type="pct"/>
            <w:tcBorders>
              <w:top w:val="nil"/>
              <w:left w:val="nil"/>
              <w:bottom w:val="single" w:sz="4" w:space="0" w:color="auto"/>
              <w:right w:val="single" w:sz="4" w:space="0" w:color="auto"/>
            </w:tcBorders>
            <w:noWrap/>
            <w:vAlign w:val="center"/>
            <w:hideMark/>
          </w:tcPr>
          <w:p w14:paraId="34AEE205"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475EDA5F"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09E23DA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SARS-CoV</w:t>
            </w:r>
          </w:p>
        </w:tc>
        <w:tc>
          <w:tcPr>
            <w:tcW w:w="617" w:type="pct"/>
            <w:tcBorders>
              <w:top w:val="nil"/>
              <w:left w:val="nil"/>
              <w:bottom w:val="single" w:sz="4" w:space="0" w:color="auto"/>
              <w:right w:val="single" w:sz="4" w:space="0" w:color="auto"/>
            </w:tcBorders>
            <w:noWrap/>
            <w:vAlign w:val="center"/>
            <w:hideMark/>
          </w:tcPr>
          <w:p w14:paraId="47631E0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Immunfärgning</w:t>
            </w:r>
          </w:p>
        </w:tc>
        <w:tc>
          <w:tcPr>
            <w:tcW w:w="1311" w:type="pct"/>
            <w:tcBorders>
              <w:top w:val="nil"/>
              <w:left w:val="nil"/>
              <w:bottom w:val="single" w:sz="4" w:space="0" w:color="auto"/>
              <w:right w:val="single" w:sz="4" w:space="0" w:color="auto"/>
            </w:tcBorders>
            <w:noWrap/>
            <w:vAlign w:val="center"/>
            <w:hideMark/>
          </w:tcPr>
          <w:p w14:paraId="4083085F"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7DE4EF96"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nej, inom forskning endast</w:t>
            </w:r>
          </w:p>
        </w:tc>
        <w:tc>
          <w:tcPr>
            <w:tcW w:w="805" w:type="pct"/>
            <w:tcBorders>
              <w:top w:val="nil"/>
              <w:left w:val="nil"/>
              <w:bottom w:val="single" w:sz="4" w:space="0" w:color="auto"/>
              <w:right w:val="single" w:sz="4" w:space="0" w:color="auto"/>
            </w:tcBorders>
            <w:noWrap/>
            <w:vAlign w:val="center"/>
            <w:hideMark/>
          </w:tcPr>
          <w:p w14:paraId="52C84DD8"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695F3726"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 (Spike protein och ORF3)</w:t>
            </w:r>
          </w:p>
        </w:tc>
        <w:tc>
          <w:tcPr>
            <w:tcW w:w="401" w:type="pct"/>
            <w:tcBorders>
              <w:top w:val="nil"/>
              <w:left w:val="nil"/>
              <w:bottom w:val="single" w:sz="4" w:space="0" w:color="auto"/>
              <w:right w:val="single" w:sz="4" w:space="0" w:color="auto"/>
            </w:tcBorders>
            <w:noWrap/>
            <w:vAlign w:val="center"/>
            <w:hideMark/>
          </w:tcPr>
          <w:p w14:paraId="04D3AB4A"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2555EFEC"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1CEC59F6"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HHV8</w:t>
            </w:r>
          </w:p>
        </w:tc>
        <w:tc>
          <w:tcPr>
            <w:tcW w:w="617" w:type="pct"/>
            <w:tcBorders>
              <w:top w:val="nil"/>
              <w:left w:val="nil"/>
              <w:bottom w:val="single" w:sz="4" w:space="0" w:color="auto"/>
              <w:right w:val="single" w:sz="4" w:space="0" w:color="auto"/>
            </w:tcBorders>
            <w:noWrap/>
            <w:vAlign w:val="center"/>
            <w:hideMark/>
          </w:tcPr>
          <w:p w14:paraId="3243F7FA"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Immunfärgning</w:t>
            </w:r>
          </w:p>
        </w:tc>
        <w:tc>
          <w:tcPr>
            <w:tcW w:w="1311" w:type="pct"/>
            <w:tcBorders>
              <w:top w:val="nil"/>
              <w:left w:val="nil"/>
              <w:bottom w:val="single" w:sz="4" w:space="0" w:color="auto"/>
              <w:right w:val="single" w:sz="4" w:space="0" w:color="auto"/>
            </w:tcBorders>
            <w:noWrap/>
            <w:vAlign w:val="center"/>
            <w:hideMark/>
          </w:tcPr>
          <w:p w14:paraId="748D01D7"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608C950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805" w:type="pct"/>
            <w:tcBorders>
              <w:top w:val="nil"/>
              <w:left w:val="nil"/>
              <w:bottom w:val="single" w:sz="4" w:space="0" w:color="auto"/>
              <w:right w:val="single" w:sz="4" w:space="0" w:color="auto"/>
            </w:tcBorders>
            <w:noWrap/>
            <w:vAlign w:val="center"/>
            <w:hideMark/>
          </w:tcPr>
          <w:p w14:paraId="0C3D49F7"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547" w:type="pct"/>
            <w:tcBorders>
              <w:top w:val="nil"/>
              <w:left w:val="nil"/>
              <w:bottom w:val="single" w:sz="4" w:space="0" w:color="auto"/>
              <w:right w:val="single" w:sz="4" w:space="0" w:color="auto"/>
            </w:tcBorders>
            <w:noWrap/>
            <w:vAlign w:val="center"/>
            <w:hideMark/>
          </w:tcPr>
          <w:p w14:paraId="264B5336"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32C4073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r>
      <w:tr w:rsidR="00A076B3" w:rsidRPr="00A076B3" w14:paraId="317D8E46"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6CE1FEE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HSV1</w:t>
            </w:r>
          </w:p>
        </w:tc>
        <w:tc>
          <w:tcPr>
            <w:tcW w:w="617" w:type="pct"/>
            <w:tcBorders>
              <w:top w:val="nil"/>
              <w:left w:val="nil"/>
              <w:bottom w:val="single" w:sz="4" w:space="0" w:color="auto"/>
              <w:right w:val="single" w:sz="4" w:space="0" w:color="auto"/>
            </w:tcBorders>
            <w:noWrap/>
            <w:vAlign w:val="center"/>
            <w:hideMark/>
          </w:tcPr>
          <w:p w14:paraId="34FC0F4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Immunfärgning</w:t>
            </w:r>
          </w:p>
        </w:tc>
        <w:tc>
          <w:tcPr>
            <w:tcW w:w="1311" w:type="pct"/>
            <w:tcBorders>
              <w:top w:val="nil"/>
              <w:left w:val="nil"/>
              <w:bottom w:val="single" w:sz="4" w:space="0" w:color="auto"/>
              <w:right w:val="single" w:sz="4" w:space="0" w:color="auto"/>
            </w:tcBorders>
            <w:noWrap/>
            <w:vAlign w:val="center"/>
            <w:hideMark/>
          </w:tcPr>
          <w:p w14:paraId="44E1DA8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27882895"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805" w:type="pct"/>
            <w:tcBorders>
              <w:top w:val="nil"/>
              <w:left w:val="nil"/>
              <w:bottom w:val="single" w:sz="4" w:space="0" w:color="auto"/>
              <w:right w:val="single" w:sz="4" w:space="0" w:color="auto"/>
            </w:tcBorders>
            <w:noWrap/>
            <w:vAlign w:val="center"/>
            <w:hideMark/>
          </w:tcPr>
          <w:p w14:paraId="2D89ABEE"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547" w:type="pct"/>
            <w:tcBorders>
              <w:top w:val="nil"/>
              <w:left w:val="nil"/>
              <w:bottom w:val="single" w:sz="4" w:space="0" w:color="auto"/>
              <w:right w:val="single" w:sz="4" w:space="0" w:color="auto"/>
            </w:tcBorders>
            <w:noWrap/>
            <w:vAlign w:val="center"/>
            <w:hideMark/>
          </w:tcPr>
          <w:p w14:paraId="15958E1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2579173F"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r>
      <w:tr w:rsidR="00A076B3" w:rsidRPr="00A076B3" w14:paraId="5A406192"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38C7EAB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HSV2</w:t>
            </w:r>
          </w:p>
        </w:tc>
        <w:tc>
          <w:tcPr>
            <w:tcW w:w="617" w:type="pct"/>
            <w:tcBorders>
              <w:top w:val="nil"/>
              <w:left w:val="nil"/>
              <w:bottom w:val="single" w:sz="4" w:space="0" w:color="auto"/>
              <w:right w:val="single" w:sz="4" w:space="0" w:color="auto"/>
            </w:tcBorders>
            <w:noWrap/>
            <w:vAlign w:val="center"/>
            <w:hideMark/>
          </w:tcPr>
          <w:p w14:paraId="6884862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Immunfärgning</w:t>
            </w:r>
          </w:p>
        </w:tc>
        <w:tc>
          <w:tcPr>
            <w:tcW w:w="1311" w:type="pct"/>
            <w:tcBorders>
              <w:top w:val="nil"/>
              <w:left w:val="nil"/>
              <w:bottom w:val="single" w:sz="4" w:space="0" w:color="auto"/>
              <w:right w:val="single" w:sz="4" w:space="0" w:color="auto"/>
            </w:tcBorders>
            <w:noWrap/>
            <w:vAlign w:val="center"/>
            <w:hideMark/>
          </w:tcPr>
          <w:p w14:paraId="3F1AB8C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7F2F1F0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805" w:type="pct"/>
            <w:tcBorders>
              <w:top w:val="nil"/>
              <w:left w:val="nil"/>
              <w:bottom w:val="single" w:sz="4" w:space="0" w:color="auto"/>
              <w:right w:val="single" w:sz="4" w:space="0" w:color="auto"/>
            </w:tcBorders>
            <w:noWrap/>
            <w:vAlign w:val="center"/>
            <w:hideMark/>
          </w:tcPr>
          <w:p w14:paraId="4DC72C7C"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547" w:type="pct"/>
            <w:tcBorders>
              <w:top w:val="nil"/>
              <w:left w:val="nil"/>
              <w:bottom w:val="single" w:sz="4" w:space="0" w:color="auto"/>
              <w:right w:val="single" w:sz="4" w:space="0" w:color="auto"/>
            </w:tcBorders>
            <w:noWrap/>
            <w:vAlign w:val="center"/>
            <w:hideMark/>
          </w:tcPr>
          <w:p w14:paraId="6D026723"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103B9E9B"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3A3D7B9E"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72EBFFE5"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Varizella Zoster virus</w:t>
            </w:r>
          </w:p>
        </w:tc>
        <w:tc>
          <w:tcPr>
            <w:tcW w:w="617" w:type="pct"/>
            <w:tcBorders>
              <w:top w:val="nil"/>
              <w:left w:val="nil"/>
              <w:bottom w:val="single" w:sz="4" w:space="0" w:color="auto"/>
              <w:right w:val="single" w:sz="4" w:space="0" w:color="auto"/>
            </w:tcBorders>
            <w:noWrap/>
            <w:vAlign w:val="center"/>
            <w:hideMark/>
          </w:tcPr>
          <w:p w14:paraId="62C4D69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Immunfärgning</w:t>
            </w:r>
          </w:p>
        </w:tc>
        <w:tc>
          <w:tcPr>
            <w:tcW w:w="1311" w:type="pct"/>
            <w:tcBorders>
              <w:top w:val="nil"/>
              <w:left w:val="nil"/>
              <w:bottom w:val="single" w:sz="4" w:space="0" w:color="auto"/>
              <w:right w:val="single" w:sz="4" w:space="0" w:color="auto"/>
            </w:tcBorders>
            <w:noWrap/>
            <w:vAlign w:val="center"/>
            <w:hideMark/>
          </w:tcPr>
          <w:p w14:paraId="34688BE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29CC409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805" w:type="pct"/>
            <w:tcBorders>
              <w:top w:val="nil"/>
              <w:left w:val="nil"/>
              <w:bottom w:val="single" w:sz="4" w:space="0" w:color="auto"/>
              <w:right w:val="single" w:sz="4" w:space="0" w:color="auto"/>
            </w:tcBorders>
            <w:noWrap/>
            <w:vAlign w:val="center"/>
            <w:hideMark/>
          </w:tcPr>
          <w:p w14:paraId="1BD5A2C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6DD1F37F"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2A77351E"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1FA061C4"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63BC2D5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Parvovirus B19</w:t>
            </w:r>
          </w:p>
        </w:tc>
        <w:tc>
          <w:tcPr>
            <w:tcW w:w="617" w:type="pct"/>
            <w:tcBorders>
              <w:top w:val="nil"/>
              <w:left w:val="nil"/>
              <w:bottom w:val="single" w:sz="4" w:space="0" w:color="auto"/>
              <w:right w:val="single" w:sz="4" w:space="0" w:color="auto"/>
            </w:tcBorders>
            <w:noWrap/>
            <w:vAlign w:val="center"/>
            <w:hideMark/>
          </w:tcPr>
          <w:p w14:paraId="4523833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Immunfärgning</w:t>
            </w:r>
          </w:p>
        </w:tc>
        <w:tc>
          <w:tcPr>
            <w:tcW w:w="1311" w:type="pct"/>
            <w:tcBorders>
              <w:top w:val="nil"/>
              <w:left w:val="nil"/>
              <w:bottom w:val="single" w:sz="4" w:space="0" w:color="auto"/>
              <w:right w:val="single" w:sz="4" w:space="0" w:color="auto"/>
            </w:tcBorders>
            <w:noWrap/>
            <w:vAlign w:val="center"/>
            <w:hideMark/>
          </w:tcPr>
          <w:p w14:paraId="7E6DF2C7"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5B07AAA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805" w:type="pct"/>
            <w:tcBorders>
              <w:top w:val="nil"/>
              <w:left w:val="nil"/>
              <w:bottom w:val="single" w:sz="4" w:space="0" w:color="auto"/>
              <w:right w:val="single" w:sz="4" w:space="0" w:color="auto"/>
            </w:tcBorders>
            <w:noWrap/>
            <w:vAlign w:val="center"/>
            <w:hideMark/>
          </w:tcPr>
          <w:p w14:paraId="502B04AA"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1D5EBD7C"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5697FBB6"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1C56143F"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66D35E37"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Adenovirus</w:t>
            </w:r>
          </w:p>
        </w:tc>
        <w:tc>
          <w:tcPr>
            <w:tcW w:w="617" w:type="pct"/>
            <w:tcBorders>
              <w:top w:val="nil"/>
              <w:left w:val="nil"/>
              <w:bottom w:val="single" w:sz="4" w:space="0" w:color="auto"/>
              <w:right w:val="single" w:sz="4" w:space="0" w:color="auto"/>
            </w:tcBorders>
            <w:noWrap/>
            <w:vAlign w:val="center"/>
            <w:hideMark/>
          </w:tcPr>
          <w:p w14:paraId="55D23ECB"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Immunfärgning</w:t>
            </w:r>
          </w:p>
        </w:tc>
        <w:tc>
          <w:tcPr>
            <w:tcW w:w="1311" w:type="pct"/>
            <w:tcBorders>
              <w:top w:val="nil"/>
              <w:left w:val="nil"/>
              <w:bottom w:val="single" w:sz="4" w:space="0" w:color="auto"/>
              <w:right w:val="single" w:sz="4" w:space="0" w:color="auto"/>
            </w:tcBorders>
            <w:noWrap/>
            <w:vAlign w:val="center"/>
            <w:hideMark/>
          </w:tcPr>
          <w:p w14:paraId="7DBFD147"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42CC8156"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805" w:type="pct"/>
            <w:tcBorders>
              <w:top w:val="nil"/>
              <w:left w:val="nil"/>
              <w:bottom w:val="single" w:sz="4" w:space="0" w:color="auto"/>
              <w:right w:val="single" w:sz="4" w:space="0" w:color="auto"/>
            </w:tcBorders>
            <w:noWrap/>
            <w:vAlign w:val="center"/>
            <w:hideMark/>
          </w:tcPr>
          <w:p w14:paraId="3A8A937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7148F4AE"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16DFA1F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52AC4847"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2D53643E"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HEP B</w:t>
            </w:r>
          </w:p>
        </w:tc>
        <w:tc>
          <w:tcPr>
            <w:tcW w:w="617" w:type="pct"/>
            <w:tcBorders>
              <w:top w:val="nil"/>
              <w:left w:val="nil"/>
              <w:bottom w:val="single" w:sz="4" w:space="0" w:color="auto"/>
              <w:right w:val="single" w:sz="4" w:space="0" w:color="auto"/>
            </w:tcBorders>
            <w:noWrap/>
            <w:vAlign w:val="center"/>
            <w:hideMark/>
          </w:tcPr>
          <w:p w14:paraId="73397091"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Immunfärgning</w:t>
            </w:r>
          </w:p>
        </w:tc>
        <w:tc>
          <w:tcPr>
            <w:tcW w:w="1311" w:type="pct"/>
            <w:tcBorders>
              <w:top w:val="nil"/>
              <w:left w:val="nil"/>
              <w:bottom w:val="single" w:sz="4" w:space="0" w:color="auto"/>
              <w:right w:val="single" w:sz="4" w:space="0" w:color="auto"/>
            </w:tcBorders>
            <w:noWrap/>
            <w:vAlign w:val="center"/>
            <w:hideMark/>
          </w:tcPr>
          <w:p w14:paraId="7DA066E7"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0D98B26B"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805" w:type="pct"/>
            <w:tcBorders>
              <w:top w:val="nil"/>
              <w:left w:val="nil"/>
              <w:bottom w:val="single" w:sz="4" w:space="0" w:color="auto"/>
              <w:right w:val="single" w:sz="4" w:space="0" w:color="auto"/>
            </w:tcBorders>
            <w:noWrap/>
            <w:vAlign w:val="center"/>
            <w:hideMark/>
          </w:tcPr>
          <w:p w14:paraId="36016825"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6F0532E6"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401" w:type="pct"/>
            <w:tcBorders>
              <w:top w:val="nil"/>
              <w:left w:val="nil"/>
              <w:bottom w:val="single" w:sz="4" w:space="0" w:color="auto"/>
              <w:right w:val="single" w:sz="4" w:space="0" w:color="auto"/>
            </w:tcBorders>
            <w:noWrap/>
            <w:vAlign w:val="center"/>
            <w:hideMark/>
          </w:tcPr>
          <w:p w14:paraId="357E8B21"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r>
      <w:tr w:rsidR="00A076B3" w:rsidRPr="00A076B3" w14:paraId="3EE63D03"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365DBD16"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Prion</w:t>
            </w:r>
          </w:p>
        </w:tc>
        <w:tc>
          <w:tcPr>
            <w:tcW w:w="617" w:type="pct"/>
            <w:tcBorders>
              <w:top w:val="nil"/>
              <w:left w:val="nil"/>
              <w:bottom w:val="single" w:sz="4" w:space="0" w:color="auto"/>
              <w:right w:val="single" w:sz="4" w:space="0" w:color="auto"/>
            </w:tcBorders>
            <w:noWrap/>
            <w:vAlign w:val="center"/>
            <w:hideMark/>
          </w:tcPr>
          <w:p w14:paraId="452BC10B"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Immunfärgning</w:t>
            </w:r>
          </w:p>
        </w:tc>
        <w:tc>
          <w:tcPr>
            <w:tcW w:w="1311" w:type="pct"/>
            <w:tcBorders>
              <w:top w:val="nil"/>
              <w:left w:val="nil"/>
              <w:bottom w:val="single" w:sz="4" w:space="0" w:color="auto"/>
              <w:right w:val="single" w:sz="4" w:space="0" w:color="auto"/>
            </w:tcBorders>
            <w:noWrap/>
            <w:vAlign w:val="center"/>
            <w:hideMark/>
          </w:tcPr>
          <w:p w14:paraId="3A99AAD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343C173B"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 (men inte för FFPE)</w:t>
            </w:r>
          </w:p>
        </w:tc>
        <w:tc>
          <w:tcPr>
            <w:tcW w:w="805" w:type="pct"/>
            <w:tcBorders>
              <w:top w:val="nil"/>
              <w:left w:val="nil"/>
              <w:bottom w:val="single" w:sz="4" w:space="0" w:color="auto"/>
              <w:right w:val="single" w:sz="4" w:space="0" w:color="auto"/>
            </w:tcBorders>
            <w:noWrap/>
            <w:vAlign w:val="center"/>
            <w:hideMark/>
          </w:tcPr>
          <w:p w14:paraId="00540875"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32D511B3"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401" w:type="pct"/>
            <w:tcBorders>
              <w:top w:val="nil"/>
              <w:left w:val="nil"/>
              <w:bottom w:val="single" w:sz="4" w:space="0" w:color="auto"/>
              <w:right w:val="single" w:sz="4" w:space="0" w:color="auto"/>
            </w:tcBorders>
            <w:noWrap/>
            <w:vAlign w:val="center"/>
            <w:hideMark/>
          </w:tcPr>
          <w:p w14:paraId="3314C56A"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 (inklusive subtyp)</w:t>
            </w:r>
          </w:p>
        </w:tc>
      </w:tr>
      <w:tr w:rsidR="00A076B3" w:rsidRPr="00A076B3" w14:paraId="39F9D179"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21BF7D33"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17" w:type="pct"/>
            <w:tcBorders>
              <w:top w:val="nil"/>
              <w:left w:val="nil"/>
              <w:bottom w:val="single" w:sz="4" w:space="0" w:color="auto"/>
              <w:right w:val="single" w:sz="4" w:space="0" w:color="auto"/>
            </w:tcBorders>
            <w:noWrap/>
            <w:vAlign w:val="center"/>
            <w:hideMark/>
          </w:tcPr>
          <w:p w14:paraId="4A32D096"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1311" w:type="pct"/>
            <w:tcBorders>
              <w:top w:val="nil"/>
              <w:left w:val="nil"/>
              <w:bottom w:val="single" w:sz="4" w:space="0" w:color="auto"/>
              <w:right w:val="single" w:sz="4" w:space="0" w:color="auto"/>
            </w:tcBorders>
            <w:noWrap/>
            <w:vAlign w:val="center"/>
            <w:hideMark/>
          </w:tcPr>
          <w:p w14:paraId="1A78FA23"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2E20DCEB"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805" w:type="pct"/>
            <w:tcBorders>
              <w:top w:val="nil"/>
              <w:left w:val="nil"/>
              <w:bottom w:val="single" w:sz="4" w:space="0" w:color="auto"/>
              <w:right w:val="single" w:sz="4" w:space="0" w:color="auto"/>
            </w:tcBorders>
            <w:noWrap/>
            <w:vAlign w:val="center"/>
            <w:hideMark/>
          </w:tcPr>
          <w:p w14:paraId="3DC7F2CC"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3ABA444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401" w:type="pct"/>
            <w:tcBorders>
              <w:top w:val="nil"/>
              <w:left w:val="nil"/>
              <w:bottom w:val="single" w:sz="4" w:space="0" w:color="auto"/>
              <w:right w:val="single" w:sz="4" w:space="0" w:color="auto"/>
            </w:tcBorders>
            <w:noWrap/>
            <w:vAlign w:val="center"/>
            <w:hideMark/>
          </w:tcPr>
          <w:p w14:paraId="16D9BB7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20BE6C02" w14:textId="77777777" w:rsidTr="00A076B3">
        <w:trPr>
          <w:trHeight w:val="288"/>
        </w:trPr>
        <w:tc>
          <w:tcPr>
            <w:tcW w:w="673" w:type="pct"/>
            <w:tcBorders>
              <w:top w:val="single" w:sz="4" w:space="0" w:color="auto"/>
              <w:left w:val="single" w:sz="4" w:space="0" w:color="auto"/>
              <w:bottom w:val="single" w:sz="4" w:space="0" w:color="auto"/>
              <w:right w:val="single" w:sz="4" w:space="0" w:color="auto"/>
            </w:tcBorders>
            <w:noWrap/>
            <w:vAlign w:val="center"/>
            <w:hideMark/>
          </w:tcPr>
          <w:p w14:paraId="1B0D173F" w14:textId="77777777" w:rsidR="00A076B3" w:rsidRPr="00A076B3" w:rsidRDefault="00A076B3" w:rsidP="00D44387">
            <w:pPr>
              <w:spacing w:line="240" w:lineRule="auto"/>
              <w:rPr>
                <w:rFonts w:eastAsia="Times New Roman"/>
                <w:b/>
                <w:bCs/>
                <w:color w:val="000000"/>
                <w:sz w:val="18"/>
                <w:szCs w:val="18"/>
                <w:lang w:val="sv-SE"/>
              </w:rPr>
            </w:pPr>
            <w:r w:rsidRPr="00A076B3">
              <w:rPr>
                <w:rFonts w:eastAsia="Times New Roman"/>
                <w:b/>
                <w:bCs/>
                <w:color w:val="000000"/>
                <w:sz w:val="18"/>
                <w:szCs w:val="18"/>
                <w:lang w:val="sv-SE"/>
              </w:rPr>
              <w:lastRenderedPageBreak/>
              <w:t>Analys</w:t>
            </w:r>
          </w:p>
        </w:tc>
        <w:tc>
          <w:tcPr>
            <w:tcW w:w="617" w:type="pct"/>
            <w:tcBorders>
              <w:top w:val="single" w:sz="4" w:space="0" w:color="auto"/>
              <w:left w:val="nil"/>
              <w:bottom w:val="single" w:sz="4" w:space="0" w:color="auto"/>
              <w:right w:val="single" w:sz="4" w:space="0" w:color="auto"/>
            </w:tcBorders>
            <w:noWrap/>
            <w:vAlign w:val="center"/>
            <w:hideMark/>
          </w:tcPr>
          <w:p w14:paraId="604190AB" w14:textId="77777777" w:rsidR="00A076B3" w:rsidRPr="00A076B3" w:rsidRDefault="00A076B3" w:rsidP="00D44387">
            <w:pPr>
              <w:spacing w:line="240" w:lineRule="auto"/>
              <w:rPr>
                <w:rFonts w:eastAsia="Times New Roman"/>
                <w:b/>
                <w:bCs/>
                <w:color w:val="000000"/>
                <w:sz w:val="18"/>
                <w:szCs w:val="18"/>
                <w:lang w:val="sv-SE"/>
              </w:rPr>
            </w:pPr>
            <w:r w:rsidRPr="00A076B3">
              <w:rPr>
                <w:rFonts w:eastAsia="Times New Roman"/>
                <w:b/>
                <w:bCs/>
                <w:color w:val="000000"/>
                <w:sz w:val="18"/>
                <w:szCs w:val="18"/>
                <w:lang w:val="sv-SE"/>
              </w:rPr>
              <w:t>Typ av analys</w:t>
            </w:r>
          </w:p>
        </w:tc>
        <w:tc>
          <w:tcPr>
            <w:tcW w:w="1311" w:type="pct"/>
            <w:tcBorders>
              <w:top w:val="single" w:sz="4" w:space="0" w:color="auto"/>
              <w:left w:val="nil"/>
              <w:bottom w:val="single" w:sz="4" w:space="0" w:color="auto"/>
              <w:right w:val="single" w:sz="4" w:space="0" w:color="auto"/>
            </w:tcBorders>
            <w:noWrap/>
            <w:vAlign w:val="center"/>
            <w:hideMark/>
          </w:tcPr>
          <w:p w14:paraId="4E57E695" w14:textId="77777777" w:rsidR="00A076B3" w:rsidRPr="00A076B3" w:rsidRDefault="00A076B3" w:rsidP="00D44387">
            <w:pPr>
              <w:spacing w:line="240" w:lineRule="auto"/>
              <w:rPr>
                <w:rFonts w:eastAsia="Times New Roman"/>
                <w:b/>
                <w:bCs/>
                <w:color w:val="000000"/>
                <w:sz w:val="18"/>
                <w:szCs w:val="18"/>
                <w:lang w:val="sv-SE"/>
              </w:rPr>
            </w:pPr>
            <w:r w:rsidRPr="00A076B3">
              <w:rPr>
                <w:rFonts w:eastAsia="Times New Roman"/>
                <w:b/>
                <w:bCs/>
                <w:color w:val="000000"/>
                <w:sz w:val="18"/>
                <w:szCs w:val="18"/>
                <w:lang w:val="sv-SE"/>
              </w:rPr>
              <w:t>Analyserar</w:t>
            </w:r>
          </w:p>
        </w:tc>
        <w:tc>
          <w:tcPr>
            <w:tcW w:w="646" w:type="pct"/>
            <w:tcBorders>
              <w:top w:val="single" w:sz="4" w:space="0" w:color="auto"/>
              <w:left w:val="nil"/>
              <w:bottom w:val="single" w:sz="4" w:space="0" w:color="auto"/>
              <w:right w:val="single" w:sz="4" w:space="0" w:color="auto"/>
            </w:tcBorders>
            <w:noWrap/>
            <w:vAlign w:val="center"/>
            <w:hideMark/>
          </w:tcPr>
          <w:p w14:paraId="1D35C2A4" w14:textId="77777777" w:rsidR="00A076B3" w:rsidRPr="00A076B3" w:rsidRDefault="00A076B3" w:rsidP="00D44387">
            <w:pPr>
              <w:spacing w:line="240" w:lineRule="auto"/>
              <w:rPr>
                <w:rFonts w:eastAsia="Times New Roman"/>
                <w:b/>
                <w:bCs/>
                <w:color w:val="000000"/>
                <w:sz w:val="18"/>
                <w:szCs w:val="18"/>
                <w:lang w:val="sv-SE"/>
              </w:rPr>
            </w:pPr>
            <w:r w:rsidRPr="00A076B3">
              <w:rPr>
                <w:rFonts w:eastAsia="Times New Roman"/>
                <w:b/>
                <w:bCs/>
                <w:color w:val="000000"/>
                <w:sz w:val="18"/>
                <w:szCs w:val="18"/>
                <w:lang w:val="sv-SE"/>
              </w:rPr>
              <w:t>Lund</w:t>
            </w:r>
          </w:p>
        </w:tc>
        <w:tc>
          <w:tcPr>
            <w:tcW w:w="805" w:type="pct"/>
            <w:tcBorders>
              <w:top w:val="single" w:sz="4" w:space="0" w:color="auto"/>
              <w:left w:val="nil"/>
              <w:bottom w:val="single" w:sz="4" w:space="0" w:color="auto"/>
              <w:right w:val="single" w:sz="4" w:space="0" w:color="auto"/>
            </w:tcBorders>
            <w:noWrap/>
            <w:vAlign w:val="center"/>
            <w:hideMark/>
          </w:tcPr>
          <w:p w14:paraId="3278BF42" w14:textId="77777777" w:rsidR="00A076B3" w:rsidRPr="00A076B3" w:rsidRDefault="00A076B3" w:rsidP="00D44387">
            <w:pPr>
              <w:spacing w:line="240" w:lineRule="auto"/>
              <w:rPr>
                <w:rFonts w:eastAsia="Times New Roman"/>
                <w:b/>
                <w:bCs/>
                <w:color w:val="000000"/>
                <w:sz w:val="18"/>
                <w:szCs w:val="18"/>
                <w:lang w:val="sv-SE"/>
              </w:rPr>
            </w:pPr>
            <w:r w:rsidRPr="00A076B3">
              <w:rPr>
                <w:rFonts w:eastAsia="Times New Roman"/>
                <w:b/>
                <w:bCs/>
                <w:color w:val="000000"/>
                <w:sz w:val="18"/>
                <w:szCs w:val="18"/>
                <w:lang w:val="sv-SE"/>
              </w:rPr>
              <w:t>Linköping</w:t>
            </w:r>
          </w:p>
        </w:tc>
        <w:tc>
          <w:tcPr>
            <w:tcW w:w="547" w:type="pct"/>
            <w:tcBorders>
              <w:top w:val="single" w:sz="4" w:space="0" w:color="auto"/>
              <w:left w:val="nil"/>
              <w:bottom w:val="single" w:sz="4" w:space="0" w:color="auto"/>
              <w:right w:val="single" w:sz="4" w:space="0" w:color="auto"/>
            </w:tcBorders>
            <w:noWrap/>
            <w:vAlign w:val="center"/>
            <w:hideMark/>
          </w:tcPr>
          <w:p w14:paraId="5D4E0ADC" w14:textId="77777777" w:rsidR="00A076B3" w:rsidRPr="00A076B3" w:rsidRDefault="00A076B3" w:rsidP="00D44387">
            <w:pPr>
              <w:spacing w:line="240" w:lineRule="auto"/>
              <w:rPr>
                <w:rFonts w:eastAsia="Times New Roman"/>
                <w:b/>
                <w:bCs/>
                <w:color w:val="000000"/>
                <w:sz w:val="18"/>
                <w:szCs w:val="18"/>
                <w:lang w:val="sv-SE"/>
              </w:rPr>
            </w:pPr>
            <w:r w:rsidRPr="00A076B3">
              <w:rPr>
                <w:rFonts w:eastAsia="Times New Roman"/>
                <w:b/>
                <w:bCs/>
                <w:color w:val="000000"/>
                <w:sz w:val="18"/>
                <w:szCs w:val="18"/>
                <w:lang w:val="sv-SE"/>
              </w:rPr>
              <w:t>Karolinska</w:t>
            </w:r>
          </w:p>
        </w:tc>
        <w:tc>
          <w:tcPr>
            <w:tcW w:w="401" w:type="pct"/>
            <w:tcBorders>
              <w:top w:val="single" w:sz="4" w:space="0" w:color="auto"/>
              <w:left w:val="nil"/>
              <w:bottom w:val="single" w:sz="4" w:space="0" w:color="auto"/>
              <w:right w:val="single" w:sz="4" w:space="0" w:color="auto"/>
            </w:tcBorders>
            <w:noWrap/>
            <w:vAlign w:val="center"/>
            <w:hideMark/>
          </w:tcPr>
          <w:p w14:paraId="1603897E" w14:textId="77777777" w:rsidR="00A076B3" w:rsidRPr="00A076B3" w:rsidRDefault="00A076B3" w:rsidP="00D44387">
            <w:pPr>
              <w:spacing w:line="240" w:lineRule="auto"/>
              <w:rPr>
                <w:rFonts w:eastAsia="Times New Roman"/>
                <w:b/>
                <w:bCs/>
                <w:color w:val="000000"/>
                <w:sz w:val="18"/>
                <w:szCs w:val="18"/>
                <w:lang w:val="sv-SE"/>
              </w:rPr>
            </w:pPr>
            <w:r w:rsidRPr="00A076B3">
              <w:rPr>
                <w:rFonts w:eastAsia="Times New Roman"/>
                <w:b/>
                <w:bCs/>
                <w:color w:val="000000"/>
                <w:sz w:val="18"/>
                <w:szCs w:val="18"/>
                <w:lang w:val="sv-SE"/>
              </w:rPr>
              <w:t>Umeå</w:t>
            </w:r>
          </w:p>
        </w:tc>
      </w:tr>
      <w:tr w:rsidR="00A076B3" w:rsidRPr="00A076B3" w14:paraId="7D2625FE"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3FE5D17E"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Borrelia</w:t>
            </w:r>
          </w:p>
        </w:tc>
        <w:tc>
          <w:tcPr>
            <w:tcW w:w="617" w:type="pct"/>
            <w:tcBorders>
              <w:top w:val="nil"/>
              <w:left w:val="nil"/>
              <w:bottom w:val="single" w:sz="4" w:space="0" w:color="auto"/>
              <w:right w:val="single" w:sz="4" w:space="0" w:color="auto"/>
            </w:tcBorders>
            <w:noWrap/>
            <w:vAlign w:val="center"/>
            <w:hideMark/>
          </w:tcPr>
          <w:p w14:paraId="6EA2B40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PCR</w:t>
            </w:r>
          </w:p>
        </w:tc>
        <w:tc>
          <w:tcPr>
            <w:tcW w:w="1311" w:type="pct"/>
            <w:tcBorders>
              <w:top w:val="nil"/>
              <w:left w:val="nil"/>
              <w:bottom w:val="single" w:sz="4" w:space="0" w:color="auto"/>
              <w:right w:val="single" w:sz="4" w:space="0" w:color="auto"/>
            </w:tcBorders>
            <w:noWrap/>
            <w:vAlign w:val="center"/>
            <w:hideMark/>
          </w:tcPr>
          <w:p w14:paraId="72E04D0C"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21F8B8A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805" w:type="pct"/>
            <w:tcBorders>
              <w:top w:val="nil"/>
              <w:left w:val="nil"/>
              <w:bottom w:val="single" w:sz="4" w:space="0" w:color="auto"/>
              <w:right w:val="single" w:sz="4" w:space="0" w:color="auto"/>
            </w:tcBorders>
            <w:noWrap/>
            <w:vAlign w:val="center"/>
            <w:hideMark/>
          </w:tcPr>
          <w:p w14:paraId="5DD18D4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4B26B59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401" w:type="pct"/>
            <w:tcBorders>
              <w:top w:val="nil"/>
              <w:left w:val="nil"/>
              <w:bottom w:val="single" w:sz="4" w:space="0" w:color="auto"/>
              <w:right w:val="single" w:sz="4" w:space="0" w:color="auto"/>
            </w:tcBorders>
            <w:noWrap/>
            <w:vAlign w:val="center"/>
            <w:hideMark/>
          </w:tcPr>
          <w:p w14:paraId="27121E6E"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4C4BE156"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3B8C7EC7"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HHV8</w:t>
            </w:r>
          </w:p>
        </w:tc>
        <w:tc>
          <w:tcPr>
            <w:tcW w:w="617" w:type="pct"/>
            <w:tcBorders>
              <w:top w:val="nil"/>
              <w:left w:val="nil"/>
              <w:bottom w:val="single" w:sz="4" w:space="0" w:color="auto"/>
              <w:right w:val="single" w:sz="4" w:space="0" w:color="auto"/>
            </w:tcBorders>
            <w:noWrap/>
            <w:vAlign w:val="center"/>
            <w:hideMark/>
          </w:tcPr>
          <w:p w14:paraId="17E87BBA"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PCR</w:t>
            </w:r>
          </w:p>
        </w:tc>
        <w:tc>
          <w:tcPr>
            <w:tcW w:w="1311" w:type="pct"/>
            <w:tcBorders>
              <w:top w:val="nil"/>
              <w:left w:val="nil"/>
              <w:bottom w:val="single" w:sz="4" w:space="0" w:color="auto"/>
              <w:right w:val="single" w:sz="4" w:space="0" w:color="auto"/>
            </w:tcBorders>
            <w:noWrap/>
            <w:vAlign w:val="center"/>
            <w:hideMark/>
          </w:tcPr>
          <w:p w14:paraId="4CDF4378"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2C2C3593"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805" w:type="pct"/>
            <w:tcBorders>
              <w:top w:val="nil"/>
              <w:left w:val="nil"/>
              <w:bottom w:val="single" w:sz="4" w:space="0" w:color="auto"/>
              <w:right w:val="single" w:sz="4" w:space="0" w:color="auto"/>
            </w:tcBorders>
            <w:noWrap/>
            <w:vAlign w:val="center"/>
            <w:hideMark/>
          </w:tcPr>
          <w:p w14:paraId="37102038"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00B0D9B1"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401" w:type="pct"/>
            <w:tcBorders>
              <w:top w:val="nil"/>
              <w:left w:val="nil"/>
              <w:bottom w:val="single" w:sz="4" w:space="0" w:color="auto"/>
              <w:right w:val="single" w:sz="4" w:space="0" w:color="auto"/>
            </w:tcBorders>
            <w:noWrap/>
            <w:vAlign w:val="center"/>
            <w:hideMark/>
          </w:tcPr>
          <w:p w14:paraId="1B9C0A8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4F966641"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161089DB"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Lepra</w:t>
            </w:r>
          </w:p>
        </w:tc>
        <w:tc>
          <w:tcPr>
            <w:tcW w:w="617" w:type="pct"/>
            <w:tcBorders>
              <w:top w:val="nil"/>
              <w:left w:val="nil"/>
              <w:bottom w:val="single" w:sz="4" w:space="0" w:color="auto"/>
              <w:right w:val="single" w:sz="4" w:space="0" w:color="auto"/>
            </w:tcBorders>
            <w:noWrap/>
            <w:vAlign w:val="center"/>
            <w:hideMark/>
          </w:tcPr>
          <w:p w14:paraId="13855E0B"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PCR</w:t>
            </w:r>
          </w:p>
        </w:tc>
        <w:tc>
          <w:tcPr>
            <w:tcW w:w="1311" w:type="pct"/>
            <w:tcBorders>
              <w:top w:val="nil"/>
              <w:left w:val="nil"/>
              <w:bottom w:val="single" w:sz="4" w:space="0" w:color="auto"/>
              <w:right w:val="single" w:sz="4" w:space="0" w:color="auto"/>
            </w:tcBorders>
            <w:noWrap/>
            <w:vAlign w:val="center"/>
            <w:hideMark/>
          </w:tcPr>
          <w:p w14:paraId="7E758A68"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7E4BC3BE"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805" w:type="pct"/>
            <w:tcBorders>
              <w:top w:val="nil"/>
              <w:left w:val="nil"/>
              <w:bottom w:val="single" w:sz="4" w:space="0" w:color="auto"/>
              <w:right w:val="single" w:sz="4" w:space="0" w:color="auto"/>
            </w:tcBorders>
            <w:noWrap/>
            <w:vAlign w:val="center"/>
            <w:hideMark/>
          </w:tcPr>
          <w:p w14:paraId="3BA15BEA"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384FFEA5"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401" w:type="pct"/>
            <w:tcBorders>
              <w:top w:val="nil"/>
              <w:left w:val="nil"/>
              <w:bottom w:val="single" w:sz="4" w:space="0" w:color="auto"/>
              <w:right w:val="single" w:sz="4" w:space="0" w:color="auto"/>
            </w:tcBorders>
            <w:noWrap/>
            <w:vAlign w:val="center"/>
            <w:hideMark/>
          </w:tcPr>
          <w:p w14:paraId="6FE8C33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75F88486"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57DDB1E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Mykobakterier</w:t>
            </w:r>
          </w:p>
        </w:tc>
        <w:tc>
          <w:tcPr>
            <w:tcW w:w="617" w:type="pct"/>
            <w:tcBorders>
              <w:top w:val="nil"/>
              <w:left w:val="nil"/>
              <w:bottom w:val="single" w:sz="4" w:space="0" w:color="auto"/>
              <w:right w:val="single" w:sz="4" w:space="0" w:color="auto"/>
            </w:tcBorders>
            <w:noWrap/>
            <w:vAlign w:val="center"/>
            <w:hideMark/>
          </w:tcPr>
          <w:p w14:paraId="6EFE4F58"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PCR</w:t>
            </w:r>
          </w:p>
        </w:tc>
        <w:tc>
          <w:tcPr>
            <w:tcW w:w="1311" w:type="pct"/>
            <w:tcBorders>
              <w:top w:val="nil"/>
              <w:left w:val="nil"/>
              <w:bottom w:val="single" w:sz="4" w:space="0" w:color="auto"/>
              <w:right w:val="single" w:sz="4" w:space="0" w:color="auto"/>
            </w:tcBorders>
            <w:noWrap/>
            <w:vAlign w:val="center"/>
            <w:hideMark/>
          </w:tcPr>
          <w:p w14:paraId="2D36C2CE"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Tuberkulösa och icke-tuberkulösa mykobakterier</w:t>
            </w:r>
          </w:p>
        </w:tc>
        <w:tc>
          <w:tcPr>
            <w:tcW w:w="646" w:type="pct"/>
            <w:tcBorders>
              <w:top w:val="nil"/>
              <w:left w:val="nil"/>
              <w:bottom w:val="single" w:sz="4" w:space="0" w:color="auto"/>
              <w:right w:val="single" w:sz="4" w:space="0" w:color="auto"/>
            </w:tcBorders>
            <w:noWrap/>
            <w:vAlign w:val="center"/>
            <w:hideMark/>
          </w:tcPr>
          <w:p w14:paraId="28DC189A"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805" w:type="pct"/>
            <w:tcBorders>
              <w:top w:val="nil"/>
              <w:left w:val="nil"/>
              <w:bottom w:val="single" w:sz="4" w:space="0" w:color="auto"/>
              <w:right w:val="single" w:sz="4" w:space="0" w:color="auto"/>
            </w:tcBorders>
            <w:noWrap/>
            <w:vAlign w:val="center"/>
            <w:hideMark/>
          </w:tcPr>
          <w:p w14:paraId="1EA89587"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 (pathofinder), NTM endast på gruppnivå</w:t>
            </w:r>
          </w:p>
        </w:tc>
        <w:tc>
          <w:tcPr>
            <w:tcW w:w="547" w:type="pct"/>
            <w:tcBorders>
              <w:top w:val="nil"/>
              <w:left w:val="nil"/>
              <w:bottom w:val="single" w:sz="4" w:space="0" w:color="auto"/>
              <w:right w:val="single" w:sz="4" w:space="0" w:color="auto"/>
            </w:tcBorders>
            <w:noWrap/>
            <w:vAlign w:val="center"/>
            <w:hideMark/>
          </w:tcPr>
          <w:p w14:paraId="447D1DC1"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401" w:type="pct"/>
            <w:tcBorders>
              <w:top w:val="nil"/>
              <w:left w:val="nil"/>
              <w:bottom w:val="single" w:sz="4" w:space="0" w:color="auto"/>
              <w:right w:val="single" w:sz="4" w:space="0" w:color="auto"/>
            </w:tcBorders>
            <w:noWrap/>
            <w:vAlign w:val="center"/>
            <w:hideMark/>
          </w:tcPr>
          <w:p w14:paraId="0EEB5A6B"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0F29259B"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5A00F7B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Syfilis</w:t>
            </w:r>
          </w:p>
        </w:tc>
        <w:tc>
          <w:tcPr>
            <w:tcW w:w="617" w:type="pct"/>
            <w:tcBorders>
              <w:top w:val="nil"/>
              <w:left w:val="nil"/>
              <w:bottom w:val="single" w:sz="4" w:space="0" w:color="auto"/>
              <w:right w:val="single" w:sz="4" w:space="0" w:color="auto"/>
            </w:tcBorders>
            <w:noWrap/>
            <w:vAlign w:val="center"/>
            <w:hideMark/>
          </w:tcPr>
          <w:p w14:paraId="722C558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PCR</w:t>
            </w:r>
          </w:p>
        </w:tc>
        <w:tc>
          <w:tcPr>
            <w:tcW w:w="1311" w:type="pct"/>
            <w:tcBorders>
              <w:top w:val="nil"/>
              <w:left w:val="nil"/>
              <w:bottom w:val="single" w:sz="4" w:space="0" w:color="auto"/>
              <w:right w:val="single" w:sz="4" w:space="0" w:color="auto"/>
            </w:tcBorders>
            <w:noWrap/>
            <w:vAlign w:val="center"/>
            <w:hideMark/>
          </w:tcPr>
          <w:p w14:paraId="29DA671A"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3AB20D83"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805" w:type="pct"/>
            <w:tcBorders>
              <w:top w:val="nil"/>
              <w:left w:val="nil"/>
              <w:bottom w:val="single" w:sz="4" w:space="0" w:color="auto"/>
              <w:right w:val="single" w:sz="4" w:space="0" w:color="auto"/>
            </w:tcBorders>
            <w:noWrap/>
            <w:vAlign w:val="center"/>
            <w:hideMark/>
          </w:tcPr>
          <w:p w14:paraId="5BBD35DA"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04C7CF2E"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401" w:type="pct"/>
            <w:tcBorders>
              <w:top w:val="nil"/>
              <w:left w:val="nil"/>
              <w:bottom w:val="single" w:sz="4" w:space="0" w:color="auto"/>
              <w:right w:val="single" w:sz="4" w:space="0" w:color="auto"/>
            </w:tcBorders>
            <w:noWrap/>
            <w:vAlign w:val="center"/>
            <w:hideMark/>
          </w:tcPr>
          <w:p w14:paraId="0063C92B"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2942F89F"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38945A8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Toxoplasma</w:t>
            </w:r>
          </w:p>
        </w:tc>
        <w:tc>
          <w:tcPr>
            <w:tcW w:w="617" w:type="pct"/>
            <w:tcBorders>
              <w:top w:val="nil"/>
              <w:left w:val="nil"/>
              <w:bottom w:val="single" w:sz="4" w:space="0" w:color="auto"/>
              <w:right w:val="single" w:sz="4" w:space="0" w:color="auto"/>
            </w:tcBorders>
            <w:noWrap/>
            <w:vAlign w:val="center"/>
            <w:hideMark/>
          </w:tcPr>
          <w:p w14:paraId="2E614C6F"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PCR</w:t>
            </w:r>
          </w:p>
        </w:tc>
        <w:tc>
          <w:tcPr>
            <w:tcW w:w="1311" w:type="pct"/>
            <w:tcBorders>
              <w:top w:val="nil"/>
              <w:left w:val="nil"/>
              <w:bottom w:val="single" w:sz="4" w:space="0" w:color="auto"/>
              <w:right w:val="single" w:sz="4" w:space="0" w:color="auto"/>
            </w:tcBorders>
            <w:noWrap/>
            <w:vAlign w:val="center"/>
            <w:hideMark/>
          </w:tcPr>
          <w:p w14:paraId="65BDF92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440BCA78"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805" w:type="pct"/>
            <w:tcBorders>
              <w:top w:val="nil"/>
              <w:left w:val="nil"/>
              <w:bottom w:val="single" w:sz="4" w:space="0" w:color="auto"/>
              <w:right w:val="single" w:sz="4" w:space="0" w:color="auto"/>
            </w:tcBorders>
            <w:noWrap/>
            <w:vAlign w:val="center"/>
            <w:hideMark/>
          </w:tcPr>
          <w:p w14:paraId="1363491E"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62F8D07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401" w:type="pct"/>
            <w:tcBorders>
              <w:top w:val="nil"/>
              <w:left w:val="nil"/>
              <w:bottom w:val="single" w:sz="4" w:space="0" w:color="auto"/>
              <w:right w:val="single" w:sz="4" w:space="0" w:color="auto"/>
            </w:tcBorders>
            <w:noWrap/>
            <w:vAlign w:val="center"/>
            <w:hideMark/>
          </w:tcPr>
          <w:p w14:paraId="7E62A438"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57E83145"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0948C468"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Bakterie-DNA 16S rDNA</w:t>
            </w:r>
          </w:p>
        </w:tc>
        <w:tc>
          <w:tcPr>
            <w:tcW w:w="617" w:type="pct"/>
            <w:tcBorders>
              <w:top w:val="nil"/>
              <w:left w:val="nil"/>
              <w:bottom w:val="single" w:sz="4" w:space="0" w:color="auto"/>
              <w:right w:val="single" w:sz="4" w:space="0" w:color="auto"/>
            </w:tcBorders>
            <w:noWrap/>
            <w:vAlign w:val="center"/>
            <w:hideMark/>
          </w:tcPr>
          <w:p w14:paraId="47A378B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PCR</w:t>
            </w:r>
          </w:p>
        </w:tc>
        <w:tc>
          <w:tcPr>
            <w:tcW w:w="1311" w:type="pct"/>
            <w:tcBorders>
              <w:top w:val="nil"/>
              <w:left w:val="nil"/>
              <w:bottom w:val="single" w:sz="4" w:space="0" w:color="auto"/>
              <w:right w:val="single" w:sz="4" w:space="0" w:color="auto"/>
            </w:tcBorders>
            <w:noWrap/>
            <w:vAlign w:val="center"/>
            <w:hideMark/>
          </w:tcPr>
          <w:p w14:paraId="6559C68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Generell bakteriepåvisning (för steril lokal, dvs inte luftvägar, tarm mm)</w:t>
            </w:r>
          </w:p>
        </w:tc>
        <w:tc>
          <w:tcPr>
            <w:tcW w:w="646" w:type="pct"/>
            <w:tcBorders>
              <w:top w:val="nil"/>
              <w:left w:val="nil"/>
              <w:bottom w:val="single" w:sz="4" w:space="0" w:color="auto"/>
              <w:right w:val="single" w:sz="4" w:space="0" w:color="auto"/>
            </w:tcBorders>
            <w:noWrap/>
            <w:vAlign w:val="center"/>
            <w:hideMark/>
          </w:tcPr>
          <w:p w14:paraId="4022645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 (men inte validerad för vävnad)</w:t>
            </w:r>
          </w:p>
        </w:tc>
        <w:tc>
          <w:tcPr>
            <w:tcW w:w="805" w:type="pct"/>
            <w:tcBorders>
              <w:top w:val="nil"/>
              <w:left w:val="nil"/>
              <w:bottom w:val="single" w:sz="4" w:space="0" w:color="auto"/>
              <w:right w:val="single" w:sz="4" w:space="0" w:color="auto"/>
            </w:tcBorders>
            <w:noWrap/>
            <w:vAlign w:val="center"/>
            <w:hideMark/>
          </w:tcPr>
          <w:p w14:paraId="02712186"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491FCE1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401" w:type="pct"/>
            <w:tcBorders>
              <w:top w:val="nil"/>
              <w:left w:val="nil"/>
              <w:bottom w:val="single" w:sz="4" w:space="0" w:color="auto"/>
              <w:right w:val="single" w:sz="4" w:space="0" w:color="auto"/>
            </w:tcBorders>
            <w:noWrap/>
            <w:vAlign w:val="center"/>
            <w:hideMark/>
          </w:tcPr>
          <w:p w14:paraId="643171D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0DB85A31"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01B715D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HPV</w:t>
            </w:r>
          </w:p>
        </w:tc>
        <w:tc>
          <w:tcPr>
            <w:tcW w:w="617" w:type="pct"/>
            <w:tcBorders>
              <w:top w:val="nil"/>
              <w:left w:val="nil"/>
              <w:bottom w:val="single" w:sz="4" w:space="0" w:color="auto"/>
              <w:right w:val="single" w:sz="4" w:space="0" w:color="auto"/>
            </w:tcBorders>
            <w:noWrap/>
            <w:vAlign w:val="center"/>
            <w:hideMark/>
          </w:tcPr>
          <w:p w14:paraId="67CC75B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PCR</w:t>
            </w:r>
          </w:p>
        </w:tc>
        <w:tc>
          <w:tcPr>
            <w:tcW w:w="1311" w:type="pct"/>
            <w:tcBorders>
              <w:top w:val="nil"/>
              <w:left w:val="nil"/>
              <w:bottom w:val="single" w:sz="4" w:space="0" w:color="auto"/>
              <w:right w:val="single" w:sz="4" w:space="0" w:color="auto"/>
            </w:tcBorders>
            <w:noWrap/>
            <w:vAlign w:val="center"/>
            <w:hideMark/>
          </w:tcPr>
          <w:p w14:paraId="29CC2328"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176D78D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805" w:type="pct"/>
            <w:tcBorders>
              <w:top w:val="nil"/>
              <w:left w:val="nil"/>
              <w:bottom w:val="single" w:sz="4" w:space="0" w:color="auto"/>
              <w:right w:val="single" w:sz="4" w:space="0" w:color="auto"/>
            </w:tcBorders>
            <w:noWrap/>
            <w:vAlign w:val="center"/>
            <w:hideMark/>
          </w:tcPr>
          <w:p w14:paraId="5DC0C81C"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47C9C06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401" w:type="pct"/>
            <w:tcBorders>
              <w:top w:val="nil"/>
              <w:left w:val="nil"/>
              <w:bottom w:val="single" w:sz="4" w:space="0" w:color="auto"/>
              <w:right w:val="single" w:sz="4" w:space="0" w:color="auto"/>
            </w:tcBorders>
            <w:noWrap/>
            <w:vAlign w:val="center"/>
            <w:hideMark/>
          </w:tcPr>
          <w:p w14:paraId="21E5F36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r>
      <w:tr w:rsidR="00A076B3" w:rsidRPr="00A076B3" w14:paraId="15BE2E74"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7468C91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17" w:type="pct"/>
            <w:tcBorders>
              <w:top w:val="nil"/>
              <w:left w:val="nil"/>
              <w:bottom w:val="single" w:sz="4" w:space="0" w:color="auto"/>
              <w:right w:val="single" w:sz="4" w:space="0" w:color="auto"/>
            </w:tcBorders>
            <w:noWrap/>
            <w:vAlign w:val="center"/>
            <w:hideMark/>
          </w:tcPr>
          <w:p w14:paraId="72F84A07"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1311" w:type="pct"/>
            <w:tcBorders>
              <w:top w:val="nil"/>
              <w:left w:val="nil"/>
              <w:bottom w:val="single" w:sz="4" w:space="0" w:color="auto"/>
              <w:right w:val="single" w:sz="4" w:space="0" w:color="auto"/>
            </w:tcBorders>
            <w:noWrap/>
            <w:vAlign w:val="center"/>
            <w:hideMark/>
          </w:tcPr>
          <w:p w14:paraId="3A3CEF58"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4EB6E61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805" w:type="pct"/>
            <w:tcBorders>
              <w:top w:val="nil"/>
              <w:left w:val="nil"/>
              <w:bottom w:val="single" w:sz="4" w:space="0" w:color="auto"/>
              <w:right w:val="single" w:sz="4" w:space="0" w:color="auto"/>
            </w:tcBorders>
            <w:noWrap/>
            <w:vAlign w:val="center"/>
            <w:hideMark/>
          </w:tcPr>
          <w:p w14:paraId="59A632D5"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57F908D8"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401" w:type="pct"/>
            <w:tcBorders>
              <w:top w:val="nil"/>
              <w:left w:val="nil"/>
              <w:bottom w:val="single" w:sz="4" w:space="0" w:color="auto"/>
              <w:right w:val="single" w:sz="4" w:space="0" w:color="auto"/>
            </w:tcBorders>
            <w:noWrap/>
            <w:vAlign w:val="center"/>
            <w:hideMark/>
          </w:tcPr>
          <w:p w14:paraId="07D51CCA"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2CA878E8"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3C08CD0A"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EBV/EBER</w:t>
            </w:r>
          </w:p>
        </w:tc>
        <w:tc>
          <w:tcPr>
            <w:tcW w:w="617" w:type="pct"/>
            <w:tcBorders>
              <w:top w:val="nil"/>
              <w:left w:val="nil"/>
              <w:bottom w:val="single" w:sz="4" w:space="0" w:color="auto"/>
              <w:right w:val="single" w:sz="4" w:space="0" w:color="auto"/>
            </w:tcBorders>
            <w:noWrap/>
            <w:vAlign w:val="center"/>
            <w:hideMark/>
          </w:tcPr>
          <w:p w14:paraId="38AEDB9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CISH</w:t>
            </w:r>
          </w:p>
        </w:tc>
        <w:tc>
          <w:tcPr>
            <w:tcW w:w="1311" w:type="pct"/>
            <w:tcBorders>
              <w:top w:val="nil"/>
              <w:left w:val="nil"/>
              <w:bottom w:val="single" w:sz="4" w:space="0" w:color="auto"/>
              <w:right w:val="single" w:sz="4" w:space="0" w:color="auto"/>
            </w:tcBorders>
            <w:noWrap/>
            <w:vAlign w:val="center"/>
            <w:hideMark/>
          </w:tcPr>
          <w:p w14:paraId="272BEDDA"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5B50998A"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805" w:type="pct"/>
            <w:tcBorders>
              <w:top w:val="nil"/>
              <w:left w:val="nil"/>
              <w:bottom w:val="single" w:sz="4" w:space="0" w:color="auto"/>
              <w:right w:val="single" w:sz="4" w:space="0" w:color="auto"/>
            </w:tcBorders>
            <w:noWrap/>
            <w:vAlign w:val="center"/>
            <w:hideMark/>
          </w:tcPr>
          <w:p w14:paraId="3E1F18B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547" w:type="pct"/>
            <w:tcBorders>
              <w:top w:val="nil"/>
              <w:left w:val="nil"/>
              <w:bottom w:val="single" w:sz="4" w:space="0" w:color="auto"/>
              <w:right w:val="single" w:sz="4" w:space="0" w:color="auto"/>
            </w:tcBorders>
            <w:noWrap/>
            <w:vAlign w:val="center"/>
            <w:hideMark/>
          </w:tcPr>
          <w:p w14:paraId="4A03758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401" w:type="pct"/>
            <w:tcBorders>
              <w:top w:val="nil"/>
              <w:left w:val="nil"/>
              <w:bottom w:val="single" w:sz="4" w:space="0" w:color="auto"/>
              <w:right w:val="single" w:sz="4" w:space="0" w:color="auto"/>
            </w:tcBorders>
            <w:noWrap/>
            <w:vAlign w:val="center"/>
            <w:hideMark/>
          </w:tcPr>
          <w:p w14:paraId="01BF8D9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r>
      <w:tr w:rsidR="00A076B3" w:rsidRPr="00A076B3" w14:paraId="0D467808"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563330F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Adenovirus</w:t>
            </w:r>
          </w:p>
        </w:tc>
        <w:tc>
          <w:tcPr>
            <w:tcW w:w="617" w:type="pct"/>
            <w:tcBorders>
              <w:top w:val="nil"/>
              <w:left w:val="nil"/>
              <w:bottom w:val="single" w:sz="4" w:space="0" w:color="auto"/>
              <w:right w:val="single" w:sz="4" w:space="0" w:color="auto"/>
            </w:tcBorders>
            <w:noWrap/>
            <w:vAlign w:val="center"/>
            <w:hideMark/>
          </w:tcPr>
          <w:p w14:paraId="04E9D4D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RNA Scope/In situ hybridisering</w:t>
            </w:r>
          </w:p>
        </w:tc>
        <w:tc>
          <w:tcPr>
            <w:tcW w:w="1311" w:type="pct"/>
            <w:tcBorders>
              <w:top w:val="nil"/>
              <w:left w:val="nil"/>
              <w:bottom w:val="single" w:sz="4" w:space="0" w:color="auto"/>
              <w:right w:val="single" w:sz="4" w:space="0" w:color="auto"/>
            </w:tcBorders>
            <w:noWrap/>
            <w:vAlign w:val="center"/>
            <w:hideMark/>
          </w:tcPr>
          <w:p w14:paraId="1997DC0F"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71E1E0A5"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805" w:type="pct"/>
            <w:tcBorders>
              <w:top w:val="nil"/>
              <w:left w:val="nil"/>
              <w:bottom w:val="single" w:sz="4" w:space="0" w:color="auto"/>
              <w:right w:val="single" w:sz="4" w:space="0" w:color="auto"/>
            </w:tcBorders>
            <w:noWrap/>
            <w:vAlign w:val="center"/>
            <w:hideMark/>
          </w:tcPr>
          <w:p w14:paraId="017418C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5DE8118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2AF4D2C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3310596E"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637781A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CMV</w:t>
            </w:r>
          </w:p>
        </w:tc>
        <w:tc>
          <w:tcPr>
            <w:tcW w:w="617" w:type="pct"/>
            <w:tcBorders>
              <w:top w:val="nil"/>
              <w:left w:val="nil"/>
              <w:bottom w:val="single" w:sz="4" w:space="0" w:color="auto"/>
              <w:right w:val="single" w:sz="4" w:space="0" w:color="auto"/>
            </w:tcBorders>
            <w:noWrap/>
            <w:vAlign w:val="center"/>
            <w:hideMark/>
          </w:tcPr>
          <w:p w14:paraId="7AB6C19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RNA Scope/In situ hybridisering</w:t>
            </w:r>
          </w:p>
        </w:tc>
        <w:tc>
          <w:tcPr>
            <w:tcW w:w="1311" w:type="pct"/>
            <w:tcBorders>
              <w:top w:val="nil"/>
              <w:left w:val="nil"/>
              <w:bottom w:val="single" w:sz="4" w:space="0" w:color="auto"/>
              <w:right w:val="single" w:sz="4" w:space="0" w:color="auto"/>
            </w:tcBorders>
            <w:noWrap/>
            <w:vAlign w:val="center"/>
            <w:hideMark/>
          </w:tcPr>
          <w:p w14:paraId="502D550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76230C8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805" w:type="pct"/>
            <w:tcBorders>
              <w:top w:val="nil"/>
              <w:left w:val="nil"/>
              <w:bottom w:val="single" w:sz="4" w:space="0" w:color="auto"/>
              <w:right w:val="single" w:sz="4" w:space="0" w:color="auto"/>
            </w:tcBorders>
            <w:noWrap/>
            <w:vAlign w:val="center"/>
            <w:hideMark/>
          </w:tcPr>
          <w:p w14:paraId="39A3CED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5C41D781"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64F556D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26A2F8C4"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1543B21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SARS-CoV-2 Nucleocapsid protein</w:t>
            </w:r>
          </w:p>
        </w:tc>
        <w:tc>
          <w:tcPr>
            <w:tcW w:w="617" w:type="pct"/>
            <w:tcBorders>
              <w:top w:val="nil"/>
              <w:left w:val="nil"/>
              <w:bottom w:val="single" w:sz="4" w:space="0" w:color="auto"/>
              <w:right w:val="single" w:sz="4" w:space="0" w:color="auto"/>
            </w:tcBorders>
            <w:noWrap/>
            <w:vAlign w:val="center"/>
            <w:hideMark/>
          </w:tcPr>
          <w:p w14:paraId="61131F9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RNA Scope/In situ hybridisering</w:t>
            </w:r>
          </w:p>
        </w:tc>
        <w:tc>
          <w:tcPr>
            <w:tcW w:w="1311" w:type="pct"/>
            <w:tcBorders>
              <w:top w:val="nil"/>
              <w:left w:val="nil"/>
              <w:bottom w:val="single" w:sz="4" w:space="0" w:color="auto"/>
              <w:right w:val="single" w:sz="4" w:space="0" w:color="auto"/>
            </w:tcBorders>
            <w:noWrap/>
            <w:vAlign w:val="center"/>
            <w:hideMark/>
          </w:tcPr>
          <w:p w14:paraId="35B0203A"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40D11D46"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805" w:type="pct"/>
            <w:tcBorders>
              <w:top w:val="nil"/>
              <w:left w:val="nil"/>
              <w:bottom w:val="single" w:sz="4" w:space="0" w:color="auto"/>
              <w:right w:val="single" w:sz="4" w:space="0" w:color="auto"/>
            </w:tcBorders>
            <w:noWrap/>
            <w:vAlign w:val="center"/>
            <w:hideMark/>
          </w:tcPr>
          <w:p w14:paraId="315CD5DB"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5184FAB7"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7593153F"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06FE7E4F"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552E39D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SARS-CoV-2 Spike protein</w:t>
            </w:r>
          </w:p>
        </w:tc>
        <w:tc>
          <w:tcPr>
            <w:tcW w:w="617" w:type="pct"/>
            <w:tcBorders>
              <w:top w:val="nil"/>
              <w:left w:val="nil"/>
              <w:bottom w:val="single" w:sz="4" w:space="0" w:color="auto"/>
              <w:right w:val="single" w:sz="4" w:space="0" w:color="auto"/>
            </w:tcBorders>
            <w:noWrap/>
            <w:vAlign w:val="center"/>
            <w:hideMark/>
          </w:tcPr>
          <w:p w14:paraId="696CCCC2"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RNA Scope/In situ hybridisering</w:t>
            </w:r>
          </w:p>
        </w:tc>
        <w:tc>
          <w:tcPr>
            <w:tcW w:w="1311" w:type="pct"/>
            <w:tcBorders>
              <w:top w:val="nil"/>
              <w:left w:val="nil"/>
              <w:bottom w:val="single" w:sz="4" w:space="0" w:color="auto"/>
              <w:right w:val="single" w:sz="4" w:space="0" w:color="auto"/>
            </w:tcBorders>
            <w:noWrap/>
            <w:vAlign w:val="center"/>
            <w:hideMark/>
          </w:tcPr>
          <w:p w14:paraId="0DF8136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010D49F6"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805" w:type="pct"/>
            <w:tcBorders>
              <w:top w:val="nil"/>
              <w:left w:val="nil"/>
              <w:bottom w:val="single" w:sz="4" w:space="0" w:color="auto"/>
              <w:right w:val="single" w:sz="4" w:space="0" w:color="auto"/>
            </w:tcBorders>
            <w:noWrap/>
            <w:vAlign w:val="center"/>
            <w:hideMark/>
          </w:tcPr>
          <w:p w14:paraId="75DB194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71660B31"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72C83DF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05AD0B79"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6C40521F"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EBV/EBER</w:t>
            </w:r>
          </w:p>
        </w:tc>
        <w:tc>
          <w:tcPr>
            <w:tcW w:w="617" w:type="pct"/>
            <w:tcBorders>
              <w:top w:val="nil"/>
              <w:left w:val="nil"/>
              <w:bottom w:val="single" w:sz="4" w:space="0" w:color="auto"/>
              <w:right w:val="single" w:sz="4" w:space="0" w:color="auto"/>
            </w:tcBorders>
            <w:noWrap/>
            <w:vAlign w:val="center"/>
            <w:hideMark/>
          </w:tcPr>
          <w:p w14:paraId="7A9B5CA7"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RNA Scope/In situ hybridisering</w:t>
            </w:r>
          </w:p>
        </w:tc>
        <w:tc>
          <w:tcPr>
            <w:tcW w:w="1311" w:type="pct"/>
            <w:tcBorders>
              <w:top w:val="nil"/>
              <w:left w:val="nil"/>
              <w:bottom w:val="single" w:sz="4" w:space="0" w:color="auto"/>
              <w:right w:val="single" w:sz="4" w:space="0" w:color="auto"/>
            </w:tcBorders>
            <w:noWrap/>
            <w:vAlign w:val="center"/>
            <w:hideMark/>
          </w:tcPr>
          <w:p w14:paraId="353E7A5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38E919D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805" w:type="pct"/>
            <w:tcBorders>
              <w:top w:val="nil"/>
              <w:left w:val="nil"/>
              <w:bottom w:val="single" w:sz="4" w:space="0" w:color="auto"/>
              <w:right w:val="single" w:sz="4" w:space="0" w:color="auto"/>
            </w:tcBorders>
            <w:noWrap/>
            <w:vAlign w:val="center"/>
            <w:hideMark/>
          </w:tcPr>
          <w:p w14:paraId="61909DE6"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0406702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060840D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522F110B"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5A9DC26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Hep B Virus Core</w:t>
            </w:r>
          </w:p>
        </w:tc>
        <w:tc>
          <w:tcPr>
            <w:tcW w:w="617" w:type="pct"/>
            <w:tcBorders>
              <w:top w:val="nil"/>
              <w:left w:val="nil"/>
              <w:bottom w:val="single" w:sz="4" w:space="0" w:color="auto"/>
              <w:right w:val="single" w:sz="4" w:space="0" w:color="auto"/>
            </w:tcBorders>
            <w:noWrap/>
            <w:vAlign w:val="center"/>
            <w:hideMark/>
          </w:tcPr>
          <w:p w14:paraId="7136B72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RNA Scope/In situ hybridisering</w:t>
            </w:r>
          </w:p>
        </w:tc>
        <w:tc>
          <w:tcPr>
            <w:tcW w:w="1311" w:type="pct"/>
            <w:tcBorders>
              <w:top w:val="nil"/>
              <w:left w:val="nil"/>
              <w:bottom w:val="single" w:sz="4" w:space="0" w:color="auto"/>
              <w:right w:val="single" w:sz="4" w:space="0" w:color="auto"/>
            </w:tcBorders>
            <w:noWrap/>
            <w:vAlign w:val="center"/>
            <w:hideMark/>
          </w:tcPr>
          <w:p w14:paraId="5B1D9B6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19DE98E7"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805" w:type="pct"/>
            <w:tcBorders>
              <w:top w:val="nil"/>
              <w:left w:val="nil"/>
              <w:bottom w:val="single" w:sz="4" w:space="0" w:color="auto"/>
              <w:right w:val="single" w:sz="4" w:space="0" w:color="auto"/>
            </w:tcBorders>
            <w:noWrap/>
            <w:vAlign w:val="center"/>
            <w:hideMark/>
          </w:tcPr>
          <w:p w14:paraId="0B9CA665"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13A82751"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34F911D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629038AD"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72ADB0F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Högrisk HPV</w:t>
            </w:r>
          </w:p>
        </w:tc>
        <w:tc>
          <w:tcPr>
            <w:tcW w:w="617" w:type="pct"/>
            <w:tcBorders>
              <w:top w:val="nil"/>
              <w:left w:val="nil"/>
              <w:bottom w:val="single" w:sz="4" w:space="0" w:color="auto"/>
              <w:right w:val="single" w:sz="4" w:space="0" w:color="auto"/>
            </w:tcBorders>
            <w:noWrap/>
            <w:vAlign w:val="center"/>
            <w:hideMark/>
          </w:tcPr>
          <w:p w14:paraId="0C6A784E"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RNA Scope/In situ hybridisering</w:t>
            </w:r>
          </w:p>
        </w:tc>
        <w:tc>
          <w:tcPr>
            <w:tcW w:w="1311" w:type="pct"/>
            <w:tcBorders>
              <w:top w:val="nil"/>
              <w:left w:val="nil"/>
              <w:bottom w:val="single" w:sz="4" w:space="0" w:color="auto"/>
              <w:right w:val="single" w:sz="4" w:space="0" w:color="auto"/>
            </w:tcBorders>
            <w:noWrap/>
            <w:vAlign w:val="center"/>
            <w:hideMark/>
          </w:tcPr>
          <w:p w14:paraId="6B95FEF5"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7462E6C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805" w:type="pct"/>
            <w:tcBorders>
              <w:top w:val="nil"/>
              <w:left w:val="nil"/>
              <w:bottom w:val="single" w:sz="4" w:space="0" w:color="auto"/>
              <w:right w:val="single" w:sz="4" w:space="0" w:color="auto"/>
            </w:tcBorders>
            <w:noWrap/>
            <w:vAlign w:val="center"/>
            <w:hideMark/>
          </w:tcPr>
          <w:p w14:paraId="113D329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73CACF4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467DC8E1"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676D14ED"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51DB35FD"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Lågrisk HPV</w:t>
            </w:r>
          </w:p>
        </w:tc>
        <w:tc>
          <w:tcPr>
            <w:tcW w:w="617" w:type="pct"/>
            <w:tcBorders>
              <w:top w:val="nil"/>
              <w:left w:val="nil"/>
              <w:bottom w:val="single" w:sz="4" w:space="0" w:color="auto"/>
              <w:right w:val="single" w:sz="4" w:space="0" w:color="auto"/>
            </w:tcBorders>
            <w:noWrap/>
            <w:vAlign w:val="center"/>
            <w:hideMark/>
          </w:tcPr>
          <w:p w14:paraId="61B30F63"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RNA Scope/In situ hybridisering</w:t>
            </w:r>
          </w:p>
        </w:tc>
        <w:tc>
          <w:tcPr>
            <w:tcW w:w="1311" w:type="pct"/>
            <w:tcBorders>
              <w:top w:val="nil"/>
              <w:left w:val="nil"/>
              <w:bottom w:val="single" w:sz="4" w:space="0" w:color="auto"/>
              <w:right w:val="single" w:sz="4" w:space="0" w:color="auto"/>
            </w:tcBorders>
            <w:noWrap/>
            <w:vAlign w:val="center"/>
            <w:hideMark/>
          </w:tcPr>
          <w:p w14:paraId="2D62390F"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2C33C41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805" w:type="pct"/>
            <w:tcBorders>
              <w:top w:val="nil"/>
              <w:left w:val="nil"/>
              <w:bottom w:val="single" w:sz="4" w:space="0" w:color="auto"/>
              <w:right w:val="single" w:sz="4" w:space="0" w:color="auto"/>
            </w:tcBorders>
            <w:noWrap/>
            <w:vAlign w:val="center"/>
            <w:hideMark/>
          </w:tcPr>
          <w:p w14:paraId="58F6D02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0F9BE5D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6ACD7778"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27EC4B08"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5EC8BC4F"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HSV1</w:t>
            </w:r>
          </w:p>
        </w:tc>
        <w:tc>
          <w:tcPr>
            <w:tcW w:w="617" w:type="pct"/>
            <w:tcBorders>
              <w:top w:val="nil"/>
              <w:left w:val="nil"/>
              <w:bottom w:val="single" w:sz="4" w:space="0" w:color="auto"/>
              <w:right w:val="single" w:sz="4" w:space="0" w:color="auto"/>
            </w:tcBorders>
            <w:noWrap/>
            <w:vAlign w:val="center"/>
            <w:hideMark/>
          </w:tcPr>
          <w:p w14:paraId="55ED1856"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RNA Scope/In situ hybridisering</w:t>
            </w:r>
          </w:p>
        </w:tc>
        <w:tc>
          <w:tcPr>
            <w:tcW w:w="1311" w:type="pct"/>
            <w:tcBorders>
              <w:top w:val="nil"/>
              <w:left w:val="nil"/>
              <w:bottom w:val="single" w:sz="4" w:space="0" w:color="auto"/>
              <w:right w:val="single" w:sz="4" w:space="0" w:color="auto"/>
            </w:tcBorders>
            <w:noWrap/>
            <w:vAlign w:val="center"/>
            <w:hideMark/>
          </w:tcPr>
          <w:p w14:paraId="03CB7BD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305A2CAA"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805" w:type="pct"/>
            <w:tcBorders>
              <w:top w:val="nil"/>
              <w:left w:val="nil"/>
              <w:bottom w:val="single" w:sz="4" w:space="0" w:color="auto"/>
              <w:right w:val="single" w:sz="4" w:space="0" w:color="auto"/>
            </w:tcBorders>
            <w:noWrap/>
            <w:vAlign w:val="center"/>
            <w:hideMark/>
          </w:tcPr>
          <w:p w14:paraId="0E703586"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01C21F43"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0F360F0E"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r w:rsidR="00A076B3" w:rsidRPr="00A076B3" w14:paraId="7BA1F472" w14:textId="77777777" w:rsidTr="00A076B3">
        <w:trPr>
          <w:trHeight w:val="288"/>
        </w:trPr>
        <w:tc>
          <w:tcPr>
            <w:tcW w:w="673" w:type="pct"/>
            <w:tcBorders>
              <w:top w:val="nil"/>
              <w:left w:val="single" w:sz="4" w:space="0" w:color="auto"/>
              <w:bottom w:val="single" w:sz="4" w:space="0" w:color="auto"/>
              <w:right w:val="single" w:sz="4" w:space="0" w:color="auto"/>
            </w:tcBorders>
            <w:noWrap/>
            <w:vAlign w:val="center"/>
            <w:hideMark/>
          </w:tcPr>
          <w:p w14:paraId="2F072C34"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HSV2</w:t>
            </w:r>
          </w:p>
        </w:tc>
        <w:tc>
          <w:tcPr>
            <w:tcW w:w="617" w:type="pct"/>
            <w:tcBorders>
              <w:top w:val="nil"/>
              <w:left w:val="nil"/>
              <w:bottom w:val="single" w:sz="4" w:space="0" w:color="auto"/>
              <w:right w:val="single" w:sz="4" w:space="0" w:color="auto"/>
            </w:tcBorders>
            <w:noWrap/>
            <w:vAlign w:val="center"/>
            <w:hideMark/>
          </w:tcPr>
          <w:p w14:paraId="41378681"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RNA Scope/In situ hybridisering</w:t>
            </w:r>
          </w:p>
        </w:tc>
        <w:tc>
          <w:tcPr>
            <w:tcW w:w="1311" w:type="pct"/>
            <w:tcBorders>
              <w:top w:val="nil"/>
              <w:left w:val="nil"/>
              <w:bottom w:val="single" w:sz="4" w:space="0" w:color="auto"/>
              <w:right w:val="single" w:sz="4" w:space="0" w:color="auto"/>
            </w:tcBorders>
            <w:noWrap/>
            <w:vAlign w:val="center"/>
            <w:hideMark/>
          </w:tcPr>
          <w:p w14:paraId="0A2FE4E0"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646" w:type="pct"/>
            <w:tcBorders>
              <w:top w:val="nil"/>
              <w:left w:val="nil"/>
              <w:bottom w:val="single" w:sz="4" w:space="0" w:color="auto"/>
              <w:right w:val="single" w:sz="4" w:space="0" w:color="auto"/>
            </w:tcBorders>
            <w:noWrap/>
            <w:vAlign w:val="center"/>
            <w:hideMark/>
          </w:tcPr>
          <w:p w14:paraId="6A6C08F7"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805" w:type="pct"/>
            <w:tcBorders>
              <w:top w:val="nil"/>
              <w:left w:val="nil"/>
              <w:bottom w:val="single" w:sz="4" w:space="0" w:color="auto"/>
              <w:right w:val="single" w:sz="4" w:space="0" w:color="auto"/>
            </w:tcBorders>
            <w:noWrap/>
            <w:vAlign w:val="center"/>
            <w:hideMark/>
          </w:tcPr>
          <w:p w14:paraId="4DA0D049"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c>
          <w:tcPr>
            <w:tcW w:w="547" w:type="pct"/>
            <w:tcBorders>
              <w:top w:val="nil"/>
              <w:left w:val="nil"/>
              <w:bottom w:val="single" w:sz="4" w:space="0" w:color="auto"/>
              <w:right w:val="single" w:sz="4" w:space="0" w:color="auto"/>
            </w:tcBorders>
            <w:noWrap/>
            <w:vAlign w:val="center"/>
            <w:hideMark/>
          </w:tcPr>
          <w:p w14:paraId="2D635138"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ja</w:t>
            </w:r>
          </w:p>
        </w:tc>
        <w:tc>
          <w:tcPr>
            <w:tcW w:w="401" w:type="pct"/>
            <w:tcBorders>
              <w:top w:val="nil"/>
              <w:left w:val="nil"/>
              <w:bottom w:val="single" w:sz="4" w:space="0" w:color="auto"/>
              <w:right w:val="single" w:sz="4" w:space="0" w:color="auto"/>
            </w:tcBorders>
            <w:noWrap/>
            <w:vAlign w:val="center"/>
            <w:hideMark/>
          </w:tcPr>
          <w:p w14:paraId="562F9CDF" w14:textId="77777777" w:rsidR="00A076B3" w:rsidRPr="00A076B3" w:rsidRDefault="00A076B3" w:rsidP="00A076B3">
            <w:pPr>
              <w:spacing w:line="240" w:lineRule="auto"/>
              <w:rPr>
                <w:rFonts w:eastAsia="Times New Roman"/>
                <w:color w:val="000000"/>
                <w:sz w:val="18"/>
                <w:szCs w:val="18"/>
                <w:lang w:val="sv-SE"/>
              </w:rPr>
            </w:pPr>
            <w:r w:rsidRPr="00A076B3">
              <w:rPr>
                <w:rFonts w:eastAsia="Times New Roman"/>
                <w:color w:val="000000"/>
                <w:sz w:val="18"/>
                <w:szCs w:val="18"/>
                <w:lang w:val="sv-SE"/>
              </w:rPr>
              <w:t> </w:t>
            </w:r>
          </w:p>
        </w:tc>
      </w:tr>
    </w:tbl>
    <w:p w14:paraId="161A7B2C" w14:textId="77777777" w:rsidR="00C66288" w:rsidRDefault="00C66288">
      <w:pPr>
        <w:shd w:val="clear" w:color="auto" w:fill="FFFFFF"/>
        <w:spacing w:before="240" w:after="240"/>
      </w:pPr>
    </w:p>
    <w:sectPr w:rsidR="00C66288" w:rsidSect="00A076B3">
      <w:pgSz w:w="16834" w:h="11909" w:orient="landscape"/>
      <w:pgMar w:top="851" w:right="851" w:bottom="851"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78B65" w14:textId="77777777" w:rsidR="006C11D6" w:rsidRDefault="006C11D6">
      <w:pPr>
        <w:spacing w:line="240" w:lineRule="auto"/>
      </w:pPr>
      <w:r>
        <w:separator/>
      </w:r>
    </w:p>
  </w:endnote>
  <w:endnote w:type="continuationSeparator" w:id="0">
    <w:p w14:paraId="57779CA5" w14:textId="77777777" w:rsidR="006C11D6" w:rsidRDefault="006C11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B0A3FE4-E6DA-44B2-A574-9DB469D94F58}"/>
  </w:font>
  <w:font w:name="Cambria">
    <w:panose1 w:val="02040503050406030204"/>
    <w:charset w:val="00"/>
    <w:family w:val="roman"/>
    <w:pitch w:val="variable"/>
    <w:sig w:usb0="E00006FF" w:usb1="420024FF" w:usb2="02000000" w:usb3="00000000" w:csb0="0000019F" w:csb1="00000000"/>
    <w:embedRegular r:id="rId2" w:fontKey="{856B9268-78DE-4C13-87A3-A7A1E9DA43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05CFA" w14:textId="77777777" w:rsidR="00C66288" w:rsidRDefault="00C662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B66E8" w14:textId="77777777" w:rsidR="006C11D6" w:rsidRDefault="006C11D6">
      <w:pPr>
        <w:spacing w:line="240" w:lineRule="auto"/>
      </w:pPr>
      <w:r>
        <w:separator/>
      </w:r>
    </w:p>
  </w:footnote>
  <w:footnote w:type="continuationSeparator" w:id="0">
    <w:p w14:paraId="50373763" w14:textId="77777777" w:rsidR="006C11D6" w:rsidRDefault="006C11D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E41FA2"/>
    <w:multiLevelType w:val="multilevel"/>
    <w:tmpl w:val="EB104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35636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288"/>
    <w:rsid w:val="006C11D6"/>
    <w:rsid w:val="00963BA8"/>
    <w:rsid w:val="00A076B3"/>
    <w:rsid w:val="00C6628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54B58"/>
  <w15:docId w15:val="{07FF5653-013C-4ED2-97A8-B99DEA979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olkhalsomyndigheten.se/anmal-och-rapportera/anmala-och-rapportera-smitta/anmala-anmalningspliktiga-sjukdomar-i-sminet/" TargetMode="External"/><Relationship Id="rId13" Type="http://schemas.openxmlformats.org/officeDocument/2006/relationships/hyperlink" Target="https://www.sciencedirect.com/science/article/abs/pii/S019643992300062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olkhalsomyndigheten.se/mikrobiologi-laboratorieanalyser/laboratorieanalyser-och-tjanster/analyskatalog/" TargetMode="External"/><Relationship Id="rId12" Type="http://schemas.openxmlformats.org/officeDocument/2006/relationships/hyperlink" Target="https://www.cdc.gov/"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jpatholtm.org/journal/view.php?number=22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ho.int/" TargetMode="External"/><Relationship Id="rId5" Type="http://schemas.openxmlformats.org/officeDocument/2006/relationships/footnotes" Target="footnotes.xml"/><Relationship Id="rId15" Type="http://schemas.openxmlformats.org/officeDocument/2006/relationships/hyperlink" Target="https://pubmed.ncbi.nlm.nih.gov/22240430/" TargetMode="External"/><Relationship Id="rId10" Type="http://schemas.openxmlformats.org/officeDocument/2006/relationships/hyperlink" Target="https://www.folkhalsomyndigheten.s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nfektion.net/kunskap-dokument/kunskap/vardprogram/" TargetMode="External"/><Relationship Id="rId14" Type="http://schemas.openxmlformats.org/officeDocument/2006/relationships/hyperlink" Target="https://www.sciencedirect.com/science/article/abs/pii/S0196439924000011"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1866</Words>
  <Characters>13142</Characters>
  <Application>Microsoft Office Word</Application>
  <DocSecurity>0</DocSecurity>
  <Lines>257</Lines>
  <Paragraphs>119</Paragraphs>
  <ScaleCrop>false</ScaleCrop>
  <Company/>
  <LinksUpToDate>false</LinksUpToDate>
  <CharactersWithSpaces>14889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Hans Brunnström</cp:lastModifiedBy>
  <cp:revision>2</cp:revision>
  <dcterms:created xsi:type="dcterms:W3CDTF">2026-05-01T05:48:00Z</dcterms:created>
  <dcterms:modified xsi:type="dcterms:W3CDTF">2026-05-01T05:55:00Z</dcterms:modified>
</cp:coreProperties>
</file>